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BA" w:rsidRPr="0002205A" w:rsidRDefault="00814331" w:rsidP="00CC73BA">
      <w:pPr>
        <w:jc w:val="center"/>
        <w:rPr>
          <w:rFonts w:cstheme="minorHAnsi"/>
          <w:b/>
          <w:sz w:val="24"/>
          <w:szCs w:val="24"/>
        </w:rPr>
      </w:pPr>
      <w:r>
        <w:rPr>
          <w:rFonts w:cstheme="minorHAnsi"/>
          <w:b/>
          <w:sz w:val="24"/>
          <w:szCs w:val="24"/>
        </w:rPr>
        <w:t xml:space="preserve">O D B O R N É    </w:t>
      </w:r>
      <w:r w:rsidR="00E166B9" w:rsidRPr="0002205A">
        <w:rPr>
          <w:rFonts w:cstheme="minorHAnsi"/>
          <w:b/>
          <w:sz w:val="24"/>
          <w:szCs w:val="24"/>
        </w:rPr>
        <w:t xml:space="preserve">S T A N O V I S K O </w:t>
      </w:r>
    </w:p>
    <w:p w:rsidR="00FE0940" w:rsidRPr="0002205A" w:rsidRDefault="00CC73BA" w:rsidP="00CC73BA">
      <w:pPr>
        <w:jc w:val="center"/>
        <w:rPr>
          <w:rFonts w:cstheme="minorHAnsi"/>
          <w:b/>
          <w:sz w:val="24"/>
          <w:szCs w:val="24"/>
        </w:rPr>
      </w:pPr>
      <w:r w:rsidRPr="0002205A">
        <w:rPr>
          <w:rFonts w:cstheme="minorHAnsi"/>
          <w:b/>
          <w:sz w:val="24"/>
          <w:szCs w:val="24"/>
        </w:rPr>
        <w:t xml:space="preserve">Hlavnej </w:t>
      </w:r>
      <w:r w:rsidR="00E166B9" w:rsidRPr="0002205A">
        <w:rPr>
          <w:rFonts w:cstheme="minorHAnsi"/>
          <w:b/>
          <w:sz w:val="24"/>
          <w:szCs w:val="24"/>
        </w:rPr>
        <w:t xml:space="preserve"> kontrolór</w:t>
      </w:r>
      <w:r w:rsidRPr="0002205A">
        <w:rPr>
          <w:rFonts w:cstheme="minorHAnsi"/>
          <w:b/>
          <w:sz w:val="24"/>
          <w:szCs w:val="24"/>
        </w:rPr>
        <w:t>ky</w:t>
      </w:r>
      <w:r w:rsidR="00814331">
        <w:rPr>
          <w:rFonts w:cstheme="minorHAnsi"/>
          <w:b/>
          <w:sz w:val="24"/>
          <w:szCs w:val="24"/>
        </w:rPr>
        <w:t xml:space="preserve"> Obce Pohronský Ruskov</w:t>
      </w:r>
      <w:r w:rsidR="00E166B9" w:rsidRPr="0002205A">
        <w:rPr>
          <w:rFonts w:cstheme="minorHAnsi"/>
          <w:b/>
          <w:sz w:val="24"/>
          <w:szCs w:val="24"/>
        </w:rPr>
        <w:t xml:space="preserve"> k návrhu rozpočtu na roky 2018 – 2020</w:t>
      </w:r>
    </w:p>
    <w:p w:rsidR="00E166B9" w:rsidRPr="0002205A" w:rsidRDefault="00E166B9">
      <w:pPr>
        <w:rPr>
          <w:rFonts w:cstheme="minorHAnsi"/>
          <w:sz w:val="24"/>
          <w:szCs w:val="24"/>
        </w:rPr>
      </w:pPr>
    </w:p>
    <w:p w:rsidR="00E166B9" w:rsidRPr="0002205A" w:rsidRDefault="00E166B9">
      <w:pPr>
        <w:rPr>
          <w:rFonts w:cstheme="minorHAnsi"/>
          <w:sz w:val="24"/>
          <w:szCs w:val="24"/>
        </w:rPr>
      </w:pPr>
      <w:r w:rsidRPr="0002205A">
        <w:rPr>
          <w:rFonts w:cstheme="minorHAnsi"/>
          <w:sz w:val="24"/>
          <w:szCs w:val="24"/>
        </w:rPr>
        <w:t xml:space="preserve">Podľa § 18f ods. 1 písm. c) zákona č. 369/1990 Zb. o obecnom zriadení v znení neskorších predpisov predkladám odborné stanovisko k návrhu rozpočtu </w:t>
      </w:r>
      <w:r w:rsidR="0049543B">
        <w:rPr>
          <w:rFonts w:cstheme="minorHAnsi"/>
          <w:sz w:val="24"/>
          <w:szCs w:val="24"/>
        </w:rPr>
        <w:t xml:space="preserve">Obce Pohronský Ruskov </w:t>
      </w:r>
      <w:r w:rsidRPr="0002205A">
        <w:rPr>
          <w:rFonts w:cstheme="minorHAnsi"/>
          <w:sz w:val="24"/>
          <w:szCs w:val="24"/>
        </w:rPr>
        <w:t>na roky 2018 - 2020 (ďalej len stanovisko). Stanovisko som spracoval</w:t>
      </w:r>
      <w:r w:rsidR="0002205A">
        <w:rPr>
          <w:rFonts w:cstheme="minorHAnsi"/>
          <w:sz w:val="24"/>
          <w:szCs w:val="24"/>
        </w:rPr>
        <w:t>a</w:t>
      </w:r>
      <w:r w:rsidRPr="0002205A">
        <w:rPr>
          <w:rFonts w:cstheme="minorHAnsi"/>
          <w:sz w:val="24"/>
          <w:szCs w:val="24"/>
        </w:rPr>
        <w:t xml:space="preserve"> na základe návrh</w:t>
      </w:r>
      <w:r w:rsidR="00555DC3">
        <w:rPr>
          <w:rFonts w:cstheme="minorHAnsi"/>
          <w:sz w:val="24"/>
          <w:szCs w:val="24"/>
        </w:rPr>
        <w:t xml:space="preserve">u rozpočtu na roky 2018 – 2020 </w:t>
      </w:r>
      <w:r w:rsidRPr="0002205A">
        <w:rPr>
          <w:rFonts w:cstheme="minorHAnsi"/>
          <w:sz w:val="24"/>
          <w:szCs w:val="24"/>
        </w:rPr>
        <w:t xml:space="preserve">podľa funkčnej a ekonomickej klasifikácie – tabuľkového spracovania, ktorý bol zverejnený v zmysle zákona č. 369/1990 Zb. o obecnom zriadení v </w:t>
      </w:r>
      <w:proofErr w:type="spellStart"/>
      <w:r w:rsidRPr="0002205A">
        <w:rPr>
          <w:rFonts w:cstheme="minorHAnsi"/>
          <w:sz w:val="24"/>
          <w:szCs w:val="24"/>
        </w:rPr>
        <w:t>z.n.p</w:t>
      </w:r>
      <w:proofErr w:type="spellEnd"/>
      <w:r w:rsidRPr="0002205A">
        <w:rPr>
          <w:rFonts w:cstheme="minorHAnsi"/>
          <w:sz w:val="24"/>
          <w:szCs w:val="24"/>
        </w:rPr>
        <w:t xml:space="preserve">. na úradnej tabuli dňa </w:t>
      </w:r>
      <w:r w:rsidR="00CC73BA" w:rsidRPr="0002205A">
        <w:rPr>
          <w:rFonts w:cstheme="minorHAnsi"/>
          <w:sz w:val="24"/>
          <w:szCs w:val="24"/>
        </w:rPr>
        <w:t>28</w:t>
      </w:r>
      <w:r w:rsidRPr="0002205A">
        <w:rPr>
          <w:rFonts w:cstheme="minorHAnsi"/>
          <w:sz w:val="24"/>
          <w:szCs w:val="24"/>
        </w:rPr>
        <w:t>.11.2017.</w:t>
      </w:r>
    </w:p>
    <w:p w:rsidR="00E166B9" w:rsidRPr="0002205A" w:rsidRDefault="00E166B9" w:rsidP="009F3097">
      <w:pPr>
        <w:rPr>
          <w:rFonts w:cstheme="minorHAnsi"/>
          <w:b/>
          <w:sz w:val="24"/>
          <w:szCs w:val="24"/>
        </w:rPr>
      </w:pPr>
      <w:r w:rsidRPr="0002205A">
        <w:rPr>
          <w:rFonts w:cstheme="minorHAnsi"/>
          <w:b/>
          <w:sz w:val="24"/>
          <w:szCs w:val="24"/>
        </w:rPr>
        <w:t>A. VÝCHODISKÁ SPRACOVANIA ODBORNÉHO STANOVISKA</w:t>
      </w:r>
    </w:p>
    <w:p w:rsidR="00E166B9" w:rsidRPr="0002205A" w:rsidRDefault="00E166B9" w:rsidP="00E166B9">
      <w:pPr>
        <w:rPr>
          <w:rFonts w:cstheme="minorHAnsi"/>
          <w:sz w:val="24"/>
          <w:szCs w:val="24"/>
        </w:rPr>
      </w:pPr>
      <w:r w:rsidRPr="0002205A">
        <w:rPr>
          <w:rFonts w:cstheme="minorHAnsi"/>
          <w:sz w:val="24"/>
          <w:szCs w:val="24"/>
        </w:rPr>
        <w:t>Pri spracovaní môjho stanoviska k predloženému návrhu rozpočtu na roky 2018 – 2020 som okrem príslušných zákonov, predpisov, smerníc zohľadnil</w:t>
      </w:r>
      <w:r w:rsidR="00555DC3">
        <w:rPr>
          <w:rFonts w:cstheme="minorHAnsi"/>
          <w:sz w:val="24"/>
          <w:szCs w:val="24"/>
        </w:rPr>
        <w:t>a</w:t>
      </w:r>
      <w:r w:rsidRPr="0002205A">
        <w:rPr>
          <w:rFonts w:cstheme="minorHAnsi"/>
          <w:sz w:val="24"/>
          <w:szCs w:val="24"/>
        </w:rPr>
        <w:t xml:space="preserve"> aj v primeranej miere informácie z Príručky na zostavenie návrhu rozpočtu verejnej správy na roky 2018 až 2020 – MF SR.</w:t>
      </w:r>
    </w:p>
    <w:p w:rsidR="00E166B9" w:rsidRPr="00555DC3" w:rsidRDefault="00E166B9" w:rsidP="00E166B9">
      <w:pPr>
        <w:rPr>
          <w:rFonts w:cstheme="minorHAnsi"/>
          <w:b/>
          <w:sz w:val="24"/>
          <w:szCs w:val="24"/>
        </w:rPr>
      </w:pPr>
      <w:r w:rsidRPr="00555DC3">
        <w:rPr>
          <w:rFonts w:cstheme="minorHAnsi"/>
          <w:b/>
          <w:sz w:val="24"/>
          <w:szCs w:val="24"/>
        </w:rPr>
        <w:t>A.1. Zákonnosť predloženého návrhu rozpočtu</w:t>
      </w:r>
    </w:p>
    <w:p w:rsidR="00E166B9" w:rsidRPr="00555DC3" w:rsidRDefault="00E166B9" w:rsidP="00E166B9">
      <w:pPr>
        <w:rPr>
          <w:rFonts w:cstheme="minorHAnsi"/>
          <w:b/>
          <w:sz w:val="24"/>
          <w:szCs w:val="24"/>
        </w:rPr>
      </w:pPr>
      <w:r w:rsidRPr="00555DC3">
        <w:rPr>
          <w:rFonts w:cstheme="minorHAnsi"/>
          <w:b/>
          <w:sz w:val="24"/>
          <w:szCs w:val="24"/>
        </w:rPr>
        <w:t>A.1.1. Súlad so všeobecne záväznými právnymi predpismi</w:t>
      </w:r>
    </w:p>
    <w:p w:rsidR="009F3097" w:rsidRDefault="00E166B9" w:rsidP="00555DC3">
      <w:pPr>
        <w:pStyle w:val="Odsekzoznamu"/>
        <w:numPr>
          <w:ilvl w:val="0"/>
          <w:numId w:val="1"/>
        </w:numPr>
        <w:ind w:left="426" w:hanging="426"/>
        <w:rPr>
          <w:rFonts w:cstheme="minorHAnsi"/>
          <w:sz w:val="24"/>
          <w:szCs w:val="24"/>
        </w:rPr>
      </w:pPr>
      <w:r w:rsidRPr="00555DC3">
        <w:rPr>
          <w:rFonts w:cstheme="minorHAnsi"/>
          <w:sz w:val="24"/>
          <w:szCs w:val="24"/>
        </w:rPr>
        <w:t xml:space="preserve">zákon č. 523/2004 Z. z. o rozpočtových pravidlách verejnej správy a o zmene a doplnení niektorých zákonov v </w:t>
      </w:r>
      <w:proofErr w:type="spellStart"/>
      <w:r w:rsidRPr="00555DC3">
        <w:rPr>
          <w:rFonts w:cstheme="minorHAnsi"/>
          <w:sz w:val="24"/>
          <w:szCs w:val="24"/>
        </w:rPr>
        <w:t>z.n.p</w:t>
      </w:r>
      <w:proofErr w:type="spellEnd"/>
      <w:r w:rsidRPr="00555DC3">
        <w:rPr>
          <w:rFonts w:cstheme="minorHAnsi"/>
          <w:sz w:val="24"/>
          <w:szCs w:val="24"/>
        </w:rPr>
        <w:t xml:space="preserve">. </w:t>
      </w:r>
    </w:p>
    <w:p w:rsidR="00E166B9" w:rsidRPr="00555DC3" w:rsidRDefault="00E166B9" w:rsidP="00E166B9">
      <w:pPr>
        <w:pStyle w:val="Odsekzoznamu"/>
        <w:numPr>
          <w:ilvl w:val="0"/>
          <w:numId w:val="1"/>
        </w:numPr>
        <w:ind w:left="426" w:hanging="426"/>
        <w:rPr>
          <w:rFonts w:cstheme="minorHAnsi"/>
          <w:sz w:val="24"/>
          <w:szCs w:val="24"/>
        </w:rPr>
      </w:pPr>
      <w:r w:rsidRPr="00555DC3">
        <w:rPr>
          <w:rFonts w:cstheme="minorHAnsi"/>
          <w:sz w:val="24"/>
          <w:szCs w:val="24"/>
        </w:rPr>
        <w:t xml:space="preserve">zákon č. 583/2004 Z. z. o rozpočtových pravidlách územnej samosprávy o zmene a doplnení niektorých zákonov v </w:t>
      </w:r>
      <w:proofErr w:type="spellStart"/>
      <w:r w:rsidRPr="00555DC3">
        <w:rPr>
          <w:rFonts w:cstheme="minorHAnsi"/>
          <w:sz w:val="24"/>
          <w:szCs w:val="24"/>
        </w:rPr>
        <w:t>z.n.p</w:t>
      </w:r>
      <w:proofErr w:type="spellEnd"/>
      <w:r w:rsidRPr="00555DC3">
        <w:rPr>
          <w:rFonts w:cstheme="minorHAnsi"/>
          <w:sz w:val="24"/>
          <w:szCs w:val="24"/>
        </w:rPr>
        <w:t>.</w:t>
      </w:r>
    </w:p>
    <w:p w:rsidR="001D1984" w:rsidRPr="00814331" w:rsidRDefault="00814331" w:rsidP="00814331">
      <w:pPr>
        <w:pBdr>
          <w:top w:val="single" w:sz="4" w:space="1" w:color="auto"/>
          <w:left w:val="single" w:sz="4" w:space="4" w:color="auto"/>
          <w:bottom w:val="single" w:sz="4" w:space="1" w:color="auto"/>
          <w:right w:val="single" w:sz="4" w:space="4" w:color="auto"/>
        </w:pBdr>
        <w:rPr>
          <w:rFonts w:cstheme="minorHAnsi"/>
          <w:b/>
          <w:sz w:val="24"/>
          <w:szCs w:val="24"/>
        </w:rPr>
      </w:pPr>
      <w:r w:rsidRPr="00814331">
        <w:rPr>
          <w:rFonts w:cstheme="minorHAnsi"/>
          <w:b/>
          <w:sz w:val="24"/>
          <w:szCs w:val="24"/>
        </w:rPr>
        <w:t>Konštatujem, že „</w:t>
      </w:r>
      <w:r w:rsidR="00E166B9" w:rsidRPr="00814331">
        <w:rPr>
          <w:rFonts w:cstheme="minorHAnsi"/>
          <w:b/>
          <w:sz w:val="24"/>
          <w:szCs w:val="24"/>
        </w:rPr>
        <w:t>Návrh rozpočtu</w:t>
      </w:r>
      <w:r w:rsidRPr="00814331">
        <w:rPr>
          <w:rFonts w:cstheme="minorHAnsi"/>
          <w:b/>
          <w:sz w:val="24"/>
          <w:szCs w:val="24"/>
        </w:rPr>
        <w:t xml:space="preserve"> na roky 2018-2020“</w:t>
      </w:r>
      <w:r w:rsidR="00E166B9" w:rsidRPr="00814331">
        <w:rPr>
          <w:rFonts w:cstheme="minorHAnsi"/>
          <w:b/>
          <w:sz w:val="24"/>
          <w:szCs w:val="24"/>
        </w:rPr>
        <w:t xml:space="preserve"> je spracovaný v súlade s vyššie uvedenými právnymi predpismi </w:t>
      </w:r>
    </w:p>
    <w:p w:rsidR="001D1984" w:rsidRDefault="00E166B9" w:rsidP="00555DC3">
      <w:pPr>
        <w:pStyle w:val="Odsekzoznamu"/>
        <w:numPr>
          <w:ilvl w:val="0"/>
          <w:numId w:val="2"/>
        </w:numPr>
        <w:ind w:left="426" w:hanging="426"/>
        <w:rPr>
          <w:rFonts w:cstheme="minorHAnsi"/>
          <w:sz w:val="24"/>
          <w:szCs w:val="24"/>
        </w:rPr>
      </w:pPr>
      <w:r w:rsidRPr="00555DC3">
        <w:rPr>
          <w:rFonts w:cstheme="minorHAnsi"/>
          <w:sz w:val="24"/>
          <w:szCs w:val="24"/>
        </w:rPr>
        <w:t xml:space="preserve">zákon č. 431/2002 Z. z. o účtovníctve v znení neskorších predpisov, </w:t>
      </w:r>
    </w:p>
    <w:p w:rsidR="001D1984" w:rsidRDefault="00E166B9" w:rsidP="00E166B9">
      <w:pPr>
        <w:pStyle w:val="Odsekzoznamu"/>
        <w:numPr>
          <w:ilvl w:val="0"/>
          <w:numId w:val="2"/>
        </w:numPr>
        <w:ind w:left="426" w:hanging="426"/>
        <w:rPr>
          <w:rFonts w:cstheme="minorHAnsi"/>
          <w:sz w:val="24"/>
          <w:szCs w:val="24"/>
        </w:rPr>
      </w:pPr>
      <w:r w:rsidRPr="00555DC3">
        <w:rPr>
          <w:rFonts w:cstheme="minorHAnsi"/>
          <w:sz w:val="24"/>
          <w:szCs w:val="24"/>
        </w:rPr>
        <w:t xml:space="preserve">zákon č. 582/2004 Z. z. o miestnych daniach a miestnom poplatku za komunálny odpad a drobné stavebné odpady v z. n. p., </w:t>
      </w:r>
    </w:p>
    <w:p w:rsidR="001D1984" w:rsidRDefault="00E166B9" w:rsidP="00E166B9">
      <w:pPr>
        <w:pStyle w:val="Odsekzoznamu"/>
        <w:numPr>
          <w:ilvl w:val="0"/>
          <w:numId w:val="2"/>
        </w:numPr>
        <w:ind w:left="426" w:hanging="426"/>
        <w:rPr>
          <w:rFonts w:cstheme="minorHAnsi"/>
          <w:sz w:val="24"/>
          <w:szCs w:val="24"/>
        </w:rPr>
      </w:pPr>
      <w:r w:rsidRPr="00555DC3">
        <w:rPr>
          <w:rFonts w:cstheme="minorHAnsi"/>
          <w:sz w:val="24"/>
          <w:szCs w:val="24"/>
        </w:rPr>
        <w:t>zákon č. 595/2003 Z. z. o dani z príjm</w:t>
      </w:r>
      <w:r w:rsidR="00555DC3">
        <w:rPr>
          <w:rFonts w:cstheme="minorHAnsi"/>
          <w:sz w:val="24"/>
          <w:szCs w:val="24"/>
        </w:rPr>
        <w:t>ov v znení neskorších predpisov,</w:t>
      </w:r>
    </w:p>
    <w:p w:rsidR="00C66E86" w:rsidRDefault="00E166B9" w:rsidP="00E166B9">
      <w:pPr>
        <w:pStyle w:val="Odsekzoznamu"/>
        <w:numPr>
          <w:ilvl w:val="0"/>
          <w:numId w:val="2"/>
        </w:numPr>
        <w:ind w:left="426" w:hanging="426"/>
        <w:rPr>
          <w:rFonts w:cstheme="minorHAnsi"/>
          <w:sz w:val="24"/>
          <w:szCs w:val="24"/>
        </w:rPr>
      </w:pPr>
      <w:r w:rsidRPr="00627BA0">
        <w:rPr>
          <w:rFonts w:cstheme="minorHAnsi"/>
          <w:sz w:val="24"/>
          <w:szCs w:val="24"/>
        </w:rPr>
        <w:t xml:space="preserve">zákon č. 564/2004 Z. z. o rozpočtovom určení výnosu dane z príjmov územnej samospráve a o zmene a doplnení niektorých zákonov v z. n. p., </w:t>
      </w:r>
    </w:p>
    <w:p w:rsidR="00C66E86" w:rsidRDefault="00E166B9" w:rsidP="00627BA0">
      <w:pPr>
        <w:pStyle w:val="Odsekzoznamu"/>
        <w:numPr>
          <w:ilvl w:val="0"/>
          <w:numId w:val="2"/>
        </w:numPr>
        <w:ind w:left="426" w:hanging="426"/>
        <w:rPr>
          <w:rFonts w:cstheme="minorHAnsi"/>
          <w:sz w:val="24"/>
          <w:szCs w:val="24"/>
        </w:rPr>
      </w:pPr>
      <w:r w:rsidRPr="00627BA0">
        <w:rPr>
          <w:rFonts w:cstheme="minorHAnsi"/>
          <w:sz w:val="24"/>
          <w:szCs w:val="24"/>
        </w:rPr>
        <w:t xml:space="preserve">zákon č. 597/2003 Z. z. o financovaní základných škôl, stredných škôl a </w:t>
      </w:r>
      <w:r w:rsidR="00C66E86" w:rsidRPr="00627BA0">
        <w:rPr>
          <w:rFonts w:cstheme="minorHAnsi"/>
          <w:sz w:val="24"/>
          <w:szCs w:val="24"/>
        </w:rPr>
        <w:t>školských zariadení v z. n. p</w:t>
      </w:r>
      <w:r w:rsidR="00627BA0">
        <w:rPr>
          <w:rFonts w:cstheme="minorHAnsi"/>
          <w:sz w:val="24"/>
          <w:szCs w:val="24"/>
        </w:rPr>
        <w:t>.</w:t>
      </w:r>
      <w:r w:rsidRPr="00627BA0">
        <w:rPr>
          <w:rFonts w:cstheme="minorHAnsi"/>
          <w:sz w:val="24"/>
          <w:szCs w:val="24"/>
        </w:rPr>
        <w:t xml:space="preserve">, </w:t>
      </w:r>
    </w:p>
    <w:p w:rsidR="00C66E86" w:rsidRDefault="00E166B9" w:rsidP="00E166B9">
      <w:pPr>
        <w:pStyle w:val="Odsekzoznamu"/>
        <w:numPr>
          <w:ilvl w:val="0"/>
          <w:numId w:val="2"/>
        </w:numPr>
        <w:ind w:left="426" w:hanging="426"/>
        <w:rPr>
          <w:rFonts w:cstheme="minorHAnsi"/>
          <w:sz w:val="24"/>
          <w:szCs w:val="24"/>
        </w:rPr>
      </w:pPr>
      <w:r w:rsidRPr="00627BA0">
        <w:rPr>
          <w:rFonts w:cstheme="minorHAnsi"/>
          <w:sz w:val="24"/>
          <w:szCs w:val="24"/>
        </w:rPr>
        <w:t xml:space="preserve">zákon č. 493/2011 Z. </w:t>
      </w:r>
      <w:r w:rsidR="00627BA0">
        <w:rPr>
          <w:rFonts w:cstheme="minorHAnsi"/>
          <w:sz w:val="24"/>
          <w:szCs w:val="24"/>
        </w:rPr>
        <w:t>z. o rozpočtovej zodpovednosti,</w:t>
      </w:r>
    </w:p>
    <w:p w:rsidR="00E166B9" w:rsidRDefault="00E166B9" w:rsidP="00E166B9">
      <w:pPr>
        <w:pStyle w:val="Odsekzoznamu"/>
        <w:numPr>
          <w:ilvl w:val="0"/>
          <w:numId w:val="2"/>
        </w:numPr>
        <w:ind w:left="426" w:hanging="426"/>
        <w:rPr>
          <w:rFonts w:cstheme="minorHAnsi"/>
          <w:sz w:val="24"/>
          <w:szCs w:val="24"/>
        </w:rPr>
      </w:pPr>
      <w:r w:rsidRPr="00627BA0">
        <w:rPr>
          <w:rFonts w:cstheme="minorHAnsi"/>
          <w:sz w:val="24"/>
          <w:szCs w:val="24"/>
        </w:rPr>
        <w:t>ostatné súvisiace právne normy.</w:t>
      </w:r>
    </w:p>
    <w:p w:rsidR="00627BA0" w:rsidRPr="00627BA0" w:rsidRDefault="00627BA0" w:rsidP="00627BA0">
      <w:pPr>
        <w:pStyle w:val="Odsekzoznamu"/>
        <w:ind w:left="426"/>
        <w:rPr>
          <w:rFonts w:cstheme="minorHAnsi"/>
          <w:sz w:val="24"/>
          <w:szCs w:val="24"/>
        </w:rPr>
      </w:pPr>
    </w:p>
    <w:p w:rsidR="009F3097" w:rsidRPr="00814331" w:rsidRDefault="00627BA0" w:rsidP="00814331">
      <w:pPr>
        <w:pBdr>
          <w:top w:val="single" w:sz="4" w:space="1" w:color="auto"/>
          <w:left w:val="single" w:sz="4" w:space="4" w:color="auto"/>
          <w:bottom w:val="single" w:sz="4" w:space="1" w:color="auto"/>
          <w:right w:val="single" w:sz="4" w:space="4" w:color="auto"/>
        </w:pBdr>
        <w:rPr>
          <w:rFonts w:cstheme="minorHAnsi"/>
          <w:b/>
          <w:sz w:val="24"/>
          <w:szCs w:val="24"/>
        </w:rPr>
      </w:pPr>
      <w:r>
        <w:rPr>
          <w:rFonts w:cstheme="minorHAnsi"/>
          <w:b/>
          <w:sz w:val="24"/>
          <w:szCs w:val="24"/>
        </w:rPr>
        <w:t>Konštatujem, že predložený „</w:t>
      </w:r>
      <w:r w:rsidR="00E166B9" w:rsidRPr="00627BA0">
        <w:rPr>
          <w:rFonts w:cstheme="minorHAnsi"/>
          <w:b/>
          <w:sz w:val="24"/>
          <w:szCs w:val="24"/>
        </w:rPr>
        <w:t xml:space="preserve">Návrh rozpočtu </w:t>
      </w:r>
      <w:r>
        <w:rPr>
          <w:rFonts w:cstheme="minorHAnsi"/>
          <w:b/>
          <w:sz w:val="24"/>
          <w:szCs w:val="24"/>
        </w:rPr>
        <w:t>na roky 2018 – 2020“</w:t>
      </w:r>
      <w:r w:rsidR="00E166B9" w:rsidRPr="00627BA0">
        <w:rPr>
          <w:rFonts w:cstheme="minorHAnsi"/>
          <w:b/>
          <w:sz w:val="24"/>
          <w:szCs w:val="24"/>
        </w:rPr>
        <w:t>zohľadňuje príslušné ustanovenia vyššie uvedených zákonov a noriem.</w:t>
      </w:r>
    </w:p>
    <w:p w:rsidR="00627BA0" w:rsidRPr="00627BA0" w:rsidRDefault="00627BA0" w:rsidP="009F3097">
      <w:pPr>
        <w:rPr>
          <w:rFonts w:cstheme="minorHAnsi"/>
          <w:b/>
          <w:sz w:val="24"/>
          <w:szCs w:val="24"/>
        </w:rPr>
      </w:pPr>
      <w:r>
        <w:rPr>
          <w:rFonts w:cstheme="minorHAnsi"/>
          <w:b/>
          <w:sz w:val="24"/>
          <w:szCs w:val="24"/>
        </w:rPr>
        <w:lastRenderedPageBreak/>
        <w:t>A.1.2</w:t>
      </w:r>
      <w:r w:rsidR="009F3097" w:rsidRPr="00627BA0">
        <w:rPr>
          <w:rFonts w:cstheme="minorHAnsi"/>
          <w:b/>
          <w:sz w:val="24"/>
          <w:szCs w:val="24"/>
        </w:rPr>
        <w:t xml:space="preserve">. Dodržanie informačnej povinnosti zo strany </w:t>
      </w:r>
      <w:r w:rsidRPr="00627BA0">
        <w:rPr>
          <w:rFonts w:cstheme="minorHAnsi"/>
          <w:b/>
          <w:sz w:val="24"/>
          <w:szCs w:val="24"/>
        </w:rPr>
        <w:t>Obce Pohronský Ruskov</w:t>
      </w:r>
    </w:p>
    <w:p w:rsidR="009F3097" w:rsidRPr="0002205A" w:rsidRDefault="009F3097" w:rsidP="009F3097">
      <w:pPr>
        <w:rPr>
          <w:rFonts w:cstheme="minorHAnsi"/>
          <w:sz w:val="24"/>
          <w:szCs w:val="24"/>
        </w:rPr>
      </w:pPr>
      <w:r w:rsidRPr="0002205A">
        <w:rPr>
          <w:rFonts w:cstheme="minorHAnsi"/>
          <w:sz w:val="24"/>
          <w:szCs w:val="24"/>
        </w:rPr>
        <w:t xml:space="preserve"> • zákon č. 369/1990 Zb. o obecnom zriadení v z. n. p. - § 9 ods. 2 zákona</w:t>
      </w:r>
    </w:p>
    <w:p w:rsidR="009F3097" w:rsidRPr="00627BA0" w:rsidRDefault="00627BA0" w:rsidP="009F3097">
      <w:pPr>
        <w:pBdr>
          <w:top w:val="single" w:sz="4" w:space="1" w:color="auto"/>
          <w:left w:val="single" w:sz="4" w:space="4" w:color="auto"/>
          <w:bottom w:val="single" w:sz="4" w:space="1" w:color="auto"/>
          <w:right w:val="single" w:sz="4" w:space="4" w:color="auto"/>
        </w:pBdr>
        <w:rPr>
          <w:rFonts w:cstheme="minorHAnsi"/>
          <w:b/>
          <w:sz w:val="24"/>
          <w:szCs w:val="24"/>
        </w:rPr>
      </w:pPr>
      <w:r w:rsidRPr="00627BA0">
        <w:rPr>
          <w:rFonts w:cstheme="minorHAnsi"/>
          <w:b/>
          <w:sz w:val="24"/>
          <w:szCs w:val="24"/>
        </w:rPr>
        <w:t>Konštatujem, že predložený „Návrh rozpočtu na roky 2018 – 2020</w:t>
      </w:r>
      <w:r w:rsidR="0049543B">
        <w:rPr>
          <w:rFonts w:cstheme="minorHAnsi"/>
          <w:b/>
          <w:sz w:val="24"/>
          <w:szCs w:val="24"/>
        </w:rPr>
        <w:t>“</w:t>
      </w:r>
      <w:r w:rsidRPr="00627BA0">
        <w:rPr>
          <w:rFonts w:cstheme="minorHAnsi"/>
          <w:b/>
          <w:sz w:val="24"/>
          <w:szCs w:val="24"/>
        </w:rPr>
        <w:t xml:space="preserve"> </w:t>
      </w:r>
      <w:r w:rsidR="009F3097" w:rsidRPr="00627BA0">
        <w:rPr>
          <w:rFonts w:cstheme="minorHAnsi"/>
          <w:b/>
          <w:sz w:val="24"/>
          <w:szCs w:val="24"/>
        </w:rPr>
        <w:t xml:space="preserve">bol zverejnený v súlade s vyššie uvedeným zákonom na úradnej tabuli Obce Pohronský Ruskov dňa  </w:t>
      </w:r>
      <w:r w:rsidR="00CC73BA" w:rsidRPr="00627BA0">
        <w:rPr>
          <w:rFonts w:cstheme="minorHAnsi"/>
          <w:b/>
          <w:sz w:val="24"/>
          <w:szCs w:val="24"/>
        </w:rPr>
        <w:t>28</w:t>
      </w:r>
      <w:r w:rsidR="009F3097" w:rsidRPr="00627BA0">
        <w:rPr>
          <w:rFonts w:cstheme="minorHAnsi"/>
          <w:b/>
          <w:sz w:val="24"/>
          <w:szCs w:val="24"/>
        </w:rPr>
        <w:t xml:space="preserve">.11.2017, ako aj na webovej stránke </w:t>
      </w:r>
      <w:r w:rsidR="007046B7">
        <w:rPr>
          <w:rFonts w:cstheme="minorHAnsi"/>
          <w:b/>
          <w:sz w:val="24"/>
          <w:szCs w:val="24"/>
        </w:rPr>
        <w:t>obce</w:t>
      </w:r>
      <w:bookmarkStart w:id="0" w:name="_GoBack"/>
      <w:bookmarkEnd w:id="0"/>
      <w:r w:rsidR="009F3097" w:rsidRPr="00627BA0">
        <w:rPr>
          <w:rFonts w:cstheme="minorHAnsi"/>
          <w:b/>
          <w:sz w:val="24"/>
          <w:szCs w:val="24"/>
        </w:rPr>
        <w:t>.</w:t>
      </w:r>
    </w:p>
    <w:p w:rsidR="00627BA0" w:rsidRDefault="00627BA0" w:rsidP="009F3097">
      <w:pPr>
        <w:rPr>
          <w:rFonts w:cstheme="minorHAnsi"/>
          <w:sz w:val="24"/>
          <w:szCs w:val="24"/>
        </w:rPr>
      </w:pPr>
    </w:p>
    <w:p w:rsidR="009F3097" w:rsidRPr="00627BA0" w:rsidRDefault="009F3097" w:rsidP="009F3097">
      <w:pPr>
        <w:rPr>
          <w:rFonts w:cstheme="minorHAnsi"/>
          <w:b/>
          <w:sz w:val="24"/>
          <w:szCs w:val="24"/>
        </w:rPr>
      </w:pPr>
      <w:r w:rsidRPr="00627BA0">
        <w:rPr>
          <w:rFonts w:cstheme="minorHAnsi"/>
          <w:b/>
          <w:sz w:val="24"/>
          <w:szCs w:val="24"/>
        </w:rPr>
        <w:t>A.2. Metodická správnosť predloženého návrhu rozpočtu</w:t>
      </w:r>
    </w:p>
    <w:p w:rsidR="009F3097" w:rsidRPr="0002205A" w:rsidRDefault="00627BA0" w:rsidP="009F3097">
      <w:pPr>
        <w:rPr>
          <w:rFonts w:cstheme="minorHAnsi"/>
          <w:sz w:val="24"/>
          <w:szCs w:val="24"/>
        </w:rPr>
      </w:pPr>
      <w:r>
        <w:rPr>
          <w:rFonts w:cstheme="minorHAnsi"/>
          <w:sz w:val="24"/>
          <w:szCs w:val="24"/>
        </w:rPr>
        <w:t>Predložený n</w:t>
      </w:r>
      <w:r w:rsidR="009F3097" w:rsidRPr="0002205A">
        <w:rPr>
          <w:rFonts w:cstheme="minorHAnsi"/>
          <w:sz w:val="24"/>
          <w:szCs w:val="24"/>
        </w:rPr>
        <w:t xml:space="preserve">ávrh rozpočtu bol spracovaný podľa rozpočtovej klasifikácie v súlade s Opatrením MF SR č. MF/010175/2004-42, ktorým sa ustanovuje druhová, organizačná a ekonomická klasifikácia rozpočtovej klasifikácie v </w:t>
      </w:r>
      <w:proofErr w:type="spellStart"/>
      <w:r w:rsidR="009F3097" w:rsidRPr="0002205A">
        <w:rPr>
          <w:rFonts w:cstheme="minorHAnsi"/>
          <w:sz w:val="24"/>
          <w:szCs w:val="24"/>
        </w:rPr>
        <w:t>z.n.p</w:t>
      </w:r>
      <w:proofErr w:type="spellEnd"/>
      <w:r w:rsidR="009F3097" w:rsidRPr="0002205A">
        <w:rPr>
          <w:rFonts w:cstheme="minorHAnsi"/>
          <w:sz w:val="24"/>
          <w:szCs w:val="24"/>
        </w:rPr>
        <w:t>., ktorá je záväzná pri zostavovaní rozpočtov územnej samosprávy.</w:t>
      </w:r>
    </w:p>
    <w:p w:rsidR="009F3097" w:rsidRPr="00627BA0" w:rsidRDefault="009F3097" w:rsidP="009F3097">
      <w:pPr>
        <w:rPr>
          <w:rFonts w:cstheme="minorHAnsi"/>
          <w:b/>
          <w:sz w:val="24"/>
          <w:szCs w:val="24"/>
        </w:rPr>
      </w:pPr>
      <w:r w:rsidRPr="00627BA0">
        <w:rPr>
          <w:rFonts w:cstheme="minorHAnsi"/>
          <w:b/>
          <w:sz w:val="24"/>
          <w:szCs w:val="24"/>
        </w:rPr>
        <w:t>B. VÝCHODISKÁ TVORBY NÁVRHU ROZPOČTU</w:t>
      </w:r>
    </w:p>
    <w:p w:rsidR="009F3097" w:rsidRPr="0002205A" w:rsidRDefault="009F3097" w:rsidP="009F3097">
      <w:pPr>
        <w:rPr>
          <w:rFonts w:cstheme="minorHAnsi"/>
          <w:sz w:val="24"/>
          <w:szCs w:val="24"/>
        </w:rPr>
      </w:pPr>
      <w:r w:rsidRPr="0002205A">
        <w:rPr>
          <w:rFonts w:cstheme="minorHAnsi"/>
          <w:sz w:val="24"/>
          <w:szCs w:val="24"/>
        </w:rPr>
        <w:t xml:space="preserve">Návrh rozpočtu vychádza zo schválených východísk rozpočtu verejnej správy na roky 2018 – 2020, z návrhu rozpočtu verejnej správy na roky 2018 - 2020 a z vývoja hospodárenia </w:t>
      </w:r>
      <w:r w:rsidR="00CC73BA" w:rsidRPr="0002205A">
        <w:rPr>
          <w:rFonts w:cstheme="minorHAnsi"/>
          <w:sz w:val="24"/>
          <w:szCs w:val="24"/>
        </w:rPr>
        <w:t>obce</w:t>
      </w:r>
      <w:r w:rsidRPr="0002205A">
        <w:rPr>
          <w:rFonts w:cstheme="minorHAnsi"/>
          <w:sz w:val="24"/>
          <w:szCs w:val="24"/>
        </w:rPr>
        <w:t xml:space="preserve"> v roku 2017 a v predchádzajúcich sledovaných rokoch.</w:t>
      </w:r>
    </w:p>
    <w:p w:rsidR="009F3097" w:rsidRPr="00627BA0" w:rsidRDefault="009F3097" w:rsidP="009F3097">
      <w:pPr>
        <w:rPr>
          <w:rFonts w:cstheme="minorHAnsi"/>
          <w:b/>
          <w:sz w:val="24"/>
          <w:szCs w:val="24"/>
        </w:rPr>
      </w:pPr>
      <w:r w:rsidRPr="00627BA0">
        <w:rPr>
          <w:rFonts w:cstheme="minorHAnsi"/>
          <w:b/>
          <w:sz w:val="24"/>
          <w:szCs w:val="24"/>
        </w:rPr>
        <w:t>C. TVORBA NÁVRHU ROZPOČTU</w:t>
      </w:r>
    </w:p>
    <w:p w:rsidR="009F3097" w:rsidRPr="0002205A" w:rsidRDefault="009F3097" w:rsidP="009F3097">
      <w:pPr>
        <w:rPr>
          <w:rFonts w:cstheme="minorHAnsi"/>
          <w:sz w:val="24"/>
          <w:szCs w:val="24"/>
        </w:rPr>
      </w:pPr>
      <w:r w:rsidRPr="0002205A">
        <w:rPr>
          <w:rFonts w:cstheme="minorHAnsi"/>
          <w:sz w:val="24"/>
          <w:szCs w:val="24"/>
        </w:rPr>
        <w:t>Pri zostavovaní rozpočtu spracovateľ využil možnosť podľa § 10 ods. 7 zákona č. 583/2004 Z. z. , t.j.  „Obec alebo vyšší územný celok sú povinní zostaviť svoj bežný rozpočet ako vyrovnaný alebo prebytkový. Bežný rozpočet sa môže zostaviť ako schodkový, ak sa vo výdavkoch bežného rozpočtu rozpočtuje použitie účelovo určených prostriedkov poskytnutých zo štátneho rozpočtu, z rozpočtu Európskej únie alebo na základe osobitného predpisu, nevyčerpaných v minulých rokoch; výška schodku takto zostaveného bežného rozpočtu nesmie byť vyššia ako suma týchto nevyčerpaných prostriedkov“.</w:t>
      </w:r>
    </w:p>
    <w:p w:rsidR="009F3097" w:rsidRPr="0002205A" w:rsidRDefault="009F3097" w:rsidP="009F3097">
      <w:pPr>
        <w:rPr>
          <w:rFonts w:cstheme="minorHAnsi"/>
          <w:sz w:val="24"/>
          <w:szCs w:val="24"/>
        </w:rPr>
      </w:pPr>
      <w:r w:rsidRPr="0002205A">
        <w:rPr>
          <w:rFonts w:cstheme="minorHAnsi"/>
          <w:sz w:val="24"/>
          <w:szCs w:val="24"/>
        </w:rPr>
        <w:t>Kapitálový rozpočet sa môže zostaviť ako schodkový, ak tento schodok možno kryť zostatkami finančných prostriedkov obce alebo vyššieho územného celku z minulých rokov, návratnými zdrojmi financovania</w:t>
      </w:r>
      <w:r w:rsidR="0049543B">
        <w:rPr>
          <w:rFonts w:cstheme="minorHAnsi"/>
          <w:sz w:val="24"/>
          <w:szCs w:val="24"/>
        </w:rPr>
        <w:t xml:space="preserve"> (úverom</w:t>
      </w:r>
      <w:r w:rsidR="0049543B" w:rsidRPr="007046B7">
        <w:rPr>
          <w:rFonts w:cstheme="minorHAnsi"/>
          <w:sz w:val="24"/>
          <w:szCs w:val="24"/>
        </w:rPr>
        <w:t>)</w:t>
      </w:r>
      <w:r w:rsidRPr="0002205A">
        <w:rPr>
          <w:rFonts w:cstheme="minorHAnsi"/>
          <w:sz w:val="24"/>
          <w:szCs w:val="24"/>
        </w:rPr>
        <w:t>, alebo je tento schodok krytý prebytkom bežného rozpočtu v príslušnom rozpočtovom roku, t.j. za predpokladu reálneho vykrytia schodku z prostriedkov mimorozpočtových fondov.</w:t>
      </w:r>
    </w:p>
    <w:p w:rsidR="009F3097" w:rsidRPr="0002205A" w:rsidRDefault="009F3097" w:rsidP="009F3097">
      <w:pPr>
        <w:rPr>
          <w:rFonts w:cstheme="minorHAnsi"/>
          <w:b/>
          <w:sz w:val="24"/>
          <w:szCs w:val="24"/>
        </w:rPr>
      </w:pPr>
      <w:r w:rsidRPr="0002205A">
        <w:rPr>
          <w:rFonts w:cstheme="minorHAnsi"/>
          <w:b/>
          <w:sz w:val="24"/>
          <w:szCs w:val="24"/>
        </w:rPr>
        <w:t>D. ZÁKLADNÁ CHARAKTERISTIKA NÁVRHU ROZPOČTU</w:t>
      </w:r>
    </w:p>
    <w:p w:rsidR="009F3097" w:rsidRPr="0002205A" w:rsidRDefault="009F3097" w:rsidP="009F3097">
      <w:pPr>
        <w:rPr>
          <w:rFonts w:cstheme="minorHAnsi"/>
          <w:sz w:val="24"/>
          <w:szCs w:val="24"/>
        </w:rPr>
      </w:pPr>
      <w:r w:rsidRPr="0002205A">
        <w:rPr>
          <w:rFonts w:cstheme="minorHAnsi"/>
          <w:sz w:val="24"/>
          <w:szCs w:val="24"/>
        </w:rPr>
        <w:t xml:space="preserve">Novelou zákona o rozpočtových pravidlách verejnej správy zákonom č. 69/2012 </w:t>
      </w:r>
      <w:proofErr w:type="spellStart"/>
      <w:r w:rsidRPr="0002205A">
        <w:rPr>
          <w:rFonts w:cstheme="minorHAnsi"/>
          <w:sz w:val="24"/>
          <w:szCs w:val="24"/>
        </w:rPr>
        <w:t>Z.z</w:t>
      </w:r>
      <w:proofErr w:type="spellEnd"/>
      <w:r w:rsidRPr="0002205A">
        <w:rPr>
          <w:rFonts w:cstheme="minorHAnsi"/>
          <w:sz w:val="24"/>
          <w:szCs w:val="24"/>
        </w:rPr>
        <w:t xml:space="preserve">., ktorým sa mení a dopĺňa zákona č. 523/2004 </w:t>
      </w:r>
      <w:proofErr w:type="spellStart"/>
      <w:r w:rsidRPr="0002205A">
        <w:rPr>
          <w:rFonts w:cstheme="minorHAnsi"/>
          <w:sz w:val="24"/>
          <w:szCs w:val="24"/>
        </w:rPr>
        <w:t>Z.z</w:t>
      </w:r>
      <w:proofErr w:type="spellEnd"/>
      <w:r w:rsidRPr="0002205A">
        <w:rPr>
          <w:rFonts w:cstheme="minorHAnsi"/>
          <w:sz w:val="24"/>
          <w:szCs w:val="24"/>
        </w:rPr>
        <w:t xml:space="preserve">. o rozpočtových pravidlách verejnej správy a o zmene a doplnení niektorých zákonov v z. </w:t>
      </w:r>
      <w:proofErr w:type="spellStart"/>
      <w:r w:rsidRPr="0002205A">
        <w:rPr>
          <w:rFonts w:cstheme="minorHAnsi"/>
          <w:sz w:val="24"/>
          <w:szCs w:val="24"/>
        </w:rPr>
        <w:t>n.p</w:t>
      </w:r>
      <w:proofErr w:type="spellEnd"/>
      <w:r w:rsidRPr="0002205A">
        <w:rPr>
          <w:rFonts w:cstheme="minorHAnsi"/>
          <w:sz w:val="24"/>
          <w:szCs w:val="24"/>
        </w:rPr>
        <w:t xml:space="preserve">. (§ 4 ods. 6) ako aj ústavným zákonom č. 493/2011 </w:t>
      </w:r>
      <w:proofErr w:type="spellStart"/>
      <w:r w:rsidRPr="0002205A">
        <w:rPr>
          <w:rFonts w:cstheme="minorHAnsi"/>
          <w:sz w:val="24"/>
          <w:szCs w:val="24"/>
        </w:rPr>
        <w:t>Z.z</w:t>
      </w:r>
      <w:proofErr w:type="spellEnd"/>
      <w:r w:rsidRPr="0002205A">
        <w:rPr>
          <w:rFonts w:cstheme="minorHAnsi"/>
          <w:sz w:val="24"/>
          <w:szCs w:val="24"/>
        </w:rPr>
        <w:t xml:space="preserve">. o rozpočtovej zodpovednosti (čl.9 ods. 1), bolo zadefinované, že návrh rozpočtu subjektov územnej samosprávy musí byť zostavený minimálne na tri roky a musí </w:t>
      </w:r>
      <w:r w:rsidRPr="0002205A">
        <w:rPr>
          <w:rFonts w:cstheme="minorHAnsi"/>
          <w:sz w:val="24"/>
          <w:szCs w:val="24"/>
        </w:rPr>
        <w:lastRenderedPageBreak/>
        <w:t>obsahovať údaje o očakávanej skutočnosti bežného rozpočtového roka a skutočné plnenie rozpočtu za predchádzajúce dva rozpočtové roky.</w:t>
      </w:r>
    </w:p>
    <w:p w:rsidR="009F3097" w:rsidRPr="0002205A" w:rsidRDefault="009F3097" w:rsidP="009F3097">
      <w:pPr>
        <w:rPr>
          <w:rFonts w:cstheme="minorHAnsi"/>
          <w:sz w:val="24"/>
          <w:szCs w:val="24"/>
        </w:rPr>
      </w:pPr>
      <w:r w:rsidRPr="0002205A">
        <w:rPr>
          <w:rFonts w:cstheme="minorHAnsi"/>
          <w:sz w:val="24"/>
          <w:szCs w:val="24"/>
        </w:rPr>
        <w:t xml:space="preserve">Rozpočet na rozpočtový rok 2018 je záväzný, rozpočty na nasledujúce dva rozpočtové roky </w:t>
      </w:r>
      <w:r w:rsidR="002D5842">
        <w:rPr>
          <w:rFonts w:cstheme="minorHAnsi"/>
          <w:sz w:val="24"/>
          <w:szCs w:val="24"/>
        </w:rPr>
        <w:t xml:space="preserve">   (</w:t>
      </w:r>
      <w:r w:rsidRPr="0002205A">
        <w:rPr>
          <w:rFonts w:cstheme="minorHAnsi"/>
          <w:sz w:val="24"/>
          <w:szCs w:val="24"/>
        </w:rPr>
        <w:t xml:space="preserve">2019 – 2020) nie sú záväzné.  Rozpočty na roky 2019 – 2020 sú zostavené v rovnakom členení, v akom sa zostavuje rozpočet na príslušný rozpočtový rok. </w:t>
      </w:r>
    </w:p>
    <w:p w:rsidR="009F3097" w:rsidRPr="0002205A" w:rsidRDefault="009F3097" w:rsidP="009F3097">
      <w:pPr>
        <w:rPr>
          <w:rFonts w:cstheme="minorHAnsi"/>
          <w:sz w:val="24"/>
          <w:szCs w:val="24"/>
        </w:rPr>
      </w:pPr>
      <w:r w:rsidRPr="0002205A">
        <w:rPr>
          <w:rFonts w:cstheme="minorHAnsi"/>
          <w:sz w:val="24"/>
          <w:szCs w:val="24"/>
        </w:rPr>
        <w:t xml:space="preserve">Na prerokovanie </w:t>
      </w:r>
      <w:r w:rsidR="002D5842">
        <w:rPr>
          <w:rFonts w:cstheme="minorHAnsi"/>
          <w:sz w:val="24"/>
          <w:szCs w:val="24"/>
        </w:rPr>
        <w:t>Obecného zastupiteľstva</w:t>
      </w:r>
      <w:r w:rsidRPr="0002205A">
        <w:rPr>
          <w:rFonts w:cstheme="minorHAnsi"/>
          <w:sz w:val="24"/>
          <w:szCs w:val="24"/>
        </w:rPr>
        <w:t xml:space="preserve"> je predložený návrh rozpočtu </w:t>
      </w:r>
      <w:r w:rsidR="002D5842">
        <w:rPr>
          <w:rFonts w:cstheme="minorHAnsi"/>
          <w:sz w:val="24"/>
          <w:szCs w:val="24"/>
        </w:rPr>
        <w:t>Obce Pohronský Ruskov</w:t>
      </w:r>
      <w:r w:rsidRPr="0002205A">
        <w:rPr>
          <w:rFonts w:cstheme="minorHAnsi"/>
          <w:sz w:val="24"/>
          <w:szCs w:val="24"/>
        </w:rPr>
        <w:t xml:space="preserve"> na roky 2018 – 2020 s nasledovnými východiskovými ukazovateľmi: (údaje sú v €):</w:t>
      </w:r>
    </w:p>
    <w:tbl>
      <w:tblPr>
        <w:tblStyle w:val="Mriekatabuky"/>
        <w:tblW w:w="0" w:type="auto"/>
        <w:tblLook w:val="04A0" w:firstRow="1" w:lastRow="0" w:firstColumn="1" w:lastColumn="0" w:noHBand="0" w:noVBand="1"/>
      </w:tblPr>
      <w:tblGrid>
        <w:gridCol w:w="1668"/>
        <w:gridCol w:w="1220"/>
        <w:gridCol w:w="1220"/>
        <w:gridCol w:w="1283"/>
        <w:gridCol w:w="1122"/>
        <w:gridCol w:w="1122"/>
        <w:gridCol w:w="1122"/>
      </w:tblGrid>
      <w:tr w:rsidR="00E050C1" w:rsidRPr="0002205A" w:rsidTr="0021187E">
        <w:tc>
          <w:tcPr>
            <w:tcW w:w="1668" w:type="dxa"/>
            <w:vAlign w:val="center"/>
          </w:tcPr>
          <w:p w:rsidR="00E050C1" w:rsidRPr="002D5842" w:rsidRDefault="00E050C1" w:rsidP="0021187E">
            <w:pPr>
              <w:jc w:val="center"/>
              <w:rPr>
                <w:rFonts w:cstheme="minorHAnsi"/>
                <w:b/>
              </w:rPr>
            </w:pPr>
            <w:r w:rsidRPr="002D5842">
              <w:rPr>
                <w:rFonts w:cstheme="minorHAnsi"/>
                <w:b/>
              </w:rPr>
              <w:t>Príjmy:</w:t>
            </w:r>
          </w:p>
        </w:tc>
        <w:tc>
          <w:tcPr>
            <w:tcW w:w="1220" w:type="dxa"/>
            <w:vAlign w:val="center"/>
          </w:tcPr>
          <w:p w:rsidR="00E050C1" w:rsidRPr="0021187E" w:rsidRDefault="0021187E" w:rsidP="00555DC3">
            <w:pPr>
              <w:jc w:val="center"/>
              <w:rPr>
                <w:rFonts w:cstheme="minorHAnsi"/>
              </w:rPr>
            </w:pPr>
            <w:r w:rsidRPr="0021187E">
              <w:rPr>
                <w:rFonts w:cstheme="minorHAnsi"/>
              </w:rPr>
              <w:t xml:space="preserve">Skutočné plnenie </w:t>
            </w:r>
            <w:r w:rsidR="00E050C1" w:rsidRPr="0021187E">
              <w:rPr>
                <w:rFonts w:cstheme="minorHAnsi"/>
              </w:rPr>
              <w:t>2015</w:t>
            </w:r>
          </w:p>
        </w:tc>
        <w:tc>
          <w:tcPr>
            <w:tcW w:w="1220" w:type="dxa"/>
            <w:vAlign w:val="center"/>
          </w:tcPr>
          <w:p w:rsidR="00E050C1" w:rsidRPr="0021187E" w:rsidRDefault="0021187E" w:rsidP="00555DC3">
            <w:pPr>
              <w:jc w:val="center"/>
              <w:rPr>
                <w:rFonts w:cstheme="minorHAnsi"/>
              </w:rPr>
            </w:pPr>
            <w:r w:rsidRPr="0021187E">
              <w:rPr>
                <w:rFonts w:cstheme="minorHAnsi"/>
              </w:rPr>
              <w:t xml:space="preserve">Skutočné plnenie </w:t>
            </w:r>
            <w:r w:rsidR="00E050C1" w:rsidRPr="0021187E">
              <w:rPr>
                <w:rFonts w:cstheme="minorHAnsi"/>
              </w:rPr>
              <w:t>2016</w:t>
            </w:r>
          </w:p>
        </w:tc>
        <w:tc>
          <w:tcPr>
            <w:tcW w:w="1283" w:type="dxa"/>
            <w:vAlign w:val="center"/>
          </w:tcPr>
          <w:p w:rsidR="00E050C1" w:rsidRPr="0021187E" w:rsidRDefault="00E050C1" w:rsidP="00555DC3">
            <w:pPr>
              <w:jc w:val="center"/>
              <w:rPr>
                <w:rFonts w:cstheme="minorHAnsi"/>
              </w:rPr>
            </w:pPr>
            <w:r w:rsidRPr="0021187E">
              <w:rPr>
                <w:rFonts w:cstheme="minorHAnsi"/>
              </w:rPr>
              <w:t>Očakávaná skutočnosť 2017</w:t>
            </w:r>
          </w:p>
        </w:tc>
        <w:tc>
          <w:tcPr>
            <w:tcW w:w="1122" w:type="dxa"/>
            <w:vAlign w:val="center"/>
          </w:tcPr>
          <w:p w:rsidR="00E050C1" w:rsidRPr="0021187E" w:rsidRDefault="00E050C1" w:rsidP="00555DC3">
            <w:pPr>
              <w:jc w:val="center"/>
              <w:rPr>
                <w:rFonts w:cstheme="minorHAnsi"/>
              </w:rPr>
            </w:pPr>
            <w:r w:rsidRPr="0021187E">
              <w:rPr>
                <w:rFonts w:cstheme="minorHAnsi"/>
              </w:rPr>
              <w:t>Rozpočet rok 2018</w:t>
            </w:r>
          </w:p>
        </w:tc>
        <w:tc>
          <w:tcPr>
            <w:tcW w:w="1122" w:type="dxa"/>
            <w:vAlign w:val="center"/>
          </w:tcPr>
          <w:p w:rsidR="00E050C1" w:rsidRPr="0021187E" w:rsidRDefault="00E050C1" w:rsidP="00555DC3">
            <w:pPr>
              <w:jc w:val="center"/>
              <w:rPr>
                <w:rFonts w:cstheme="minorHAnsi"/>
              </w:rPr>
            </w:pPr>
            <w:r w:rsidRPr="0021187E">
              <w:rPr>
                <w:rFonts w:cstheme="minorHAnsi"/>
              </w:rPr>
              <w:t>Rozpočet 2019</w:t>
            </w:r>
          </w:p>
        </w:tc>
        <w:tc>
          <w:tcPr>
            <w:tcW w:w="1122" w:type="dxa"/>
            <w:vAlign w:val="center"/>
          </w:tcPr>
          <w:p w:rsidR="00E050C1" w:rsidRPr="0021187E" w:rsidRDefault="00E050C1" w:rsidP="00555DC3">
            <w:pPr>
              <w:jc w:val="center"/>
              <w:rPr>
                <w:rFonts w:cstheme="minorHAnsi"/>
              </w:rPr>
            </w:pPr>
            <w:r w:rsidRPr="0021187E">
              <w:rPr>
                <w:rFonts w:cstheme="minorHAnsi"/>
              </w:rPr>
              <w:t>Rozpočet 2020</w:t>
            </w:r>
          </w:p>
        </w:tc>
      </w:tr>
      <w:tr w:rsidR="00E050C1" w:rsidRPr="0002205A" w:rsidTr="0021187E">
        <w:tc>
          <w:tcPr>
            <w:tcW w:w="1668" w:type="dxa"/>
          </w:tcPr>
          <w:p w:rsidR="00E050C1" w:rsidRPr="0021187E" w:rsidRDefault="00E050C1" w:rsidP="00814331">
            <w:pPr>
              <w:spacing w:line="360" w:lineRule="auto"/>
              <w:rPr>
                <w:rFonts w:cstheme="minorHAnsi"/>
              </w:rPr>
            </w:pPr>
            <w:r w:rsidRPr="0021187E">
              <w:rPr>
                <w:rFonts w:cstheme="minorHAnsi"/>
              </w:rPr>
              <w:t>Bežné</w:t>
            </w:r>
            <w:r w:rsidR="0021187E">
              <w:rPr>
                <w:rFonts w:cstheme="minorHAnsi"/>
              </w:rPr>
              <w:t xml:space="preserve"> </w:t>
            </w:r>
          </w:p>
        </w:tc>
        <w:tc>
          <w:tcPr>
            <w:tcW w:w="1220" w:type="dxa"/>
            <w:vAlign w:val="center"/>
          </w:tcPr>
          <w:p w:rsidR="00E050C1" w:rsidRPr="00E050C1" w:rsidRDefault="00E050C1" w:rsidP="00814331">
            <w:pPr>
              <w:spacing w:line="360" w:lineRule="auto"/>
              <w:jc w:val="center"/>
              <w:rPr>
                <w:rFonts w:cstheme="minorHAnsi"/>
              </w:rPr>
            </w:pPr>
            <w:r w:rsidRPr="00E050C1">
              <w:rPr>
                <w:rFonts w:cstheme="minorHAnsi"/>
              </w:rPr>
              <w:t>793</w:t>
            </w:r>
            <w:r>
              <w:rPr>
                <w:rFonts w:cstheme="minorHAnsi"/>
              </w:rPr>
              <w:t xml:space="preserve"> </w:t>
            </w:r>
            <w:r w:rsidRPr="00E050C1">
              <w:rPr>
                <w:rFonts w:cstheme="minorHAnsi"/>
              </w:rPr>
              <w:t>621,79</w:t>
            </w:r>
          </w:p>
        </w:tc>
        <w:tc>
          <w:tcPr>
            <w:tcW w:w="1220" w:type="dxa"/>
            <w:vAlign w:val="center"/>
          </w:tcPr>
          <w:p w:rsidR="00E050C1" w:rsidRPr="00E050C1" w:rsidRDefault="00E050C1" w:rsidP="00814331">
            <w:pPr>
              <w:spacing w:line="360" w:lineRule="auto"/>
              <w:jc w:val="center"/>
              <w:rPr>
                <w:rFonts w:cstheme="minorHAnsi"/>
              </w:rPr>
            </w:pPr>
            <w:r w:rsidRPr="00E050C1">
              <w:rPr>
                <w:rFonts w:cstheme="minorHAnsi"/>
              </w:rPr>
              <w:t>927</w:t>
            </w:r>
            <w:r>
              <w:rPr>
                <w:rFonts w:cstheme="minorHAnsi"/>
              </w:rPr>
              <w:t xml:space="preserve"> </w:t>
            </w:r>
            <w:r w:rsidRPr="00E050C1">
              <w:rPr>
                <w:rFonts w:cstheme="minorHAnsi"/>
              </w:rPr>
              <w:t>652,15</w:t>
            </w:r>
          </w:p>
        </w:tc>
        <w:tc>
          <w:tcPr>
            <w:tcW w:w="1283" w:type="dxa"/>
            <w:vAlign w:val="center"/>
          </w:tcPr>
          <w:p w:rsidR="00E050C1" w:rsidRPr="00E050C1" w:rsidRDefault="00E050C1" w:rsidP="00814331">
            <w:pPr>
              <w:spacing w:line="360" w:lineRule="auto"/>
              <w:jc w:val="center"/>
              <w:rPr>
                <w:rFonts w:cstheme="minorHAnsi"/>
              </w:rPr>
            </w:pPr>
            <w:r w:rsidRPr="00E050C1">
              <w:rPr>
                <w:rFonts w:cstheme="minorHAnsi"/>
              </w:rPr>
              <w:t>801</w:t>
            </w:r>
            <w:r>
              <w:rPr>
                <w:rFonts w:cstheme="minorHAnsi"/>
              </w:rPr>
              <w:t xml:space="preserve"> </w:t>
            </w:r>
            <w:r w:rsidRPr="00E050C1">
              <w:rPr>
                <w:rFonts w:cstheme="minorHAnsi"/>
              </w:rPr>
              <w:t>427</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853 725</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816 010</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856 310</w:t>
            </w:r>
          </w:p>
        </w:tc>
      </w:tr>
      <w:tr w:rsidR="00E050C1" w:rsidRPr="0002205A" w:rsidTr="0021187E">
        <w:tc>
          <w:tcPr>
            <w:tcW w:w="1668" w:type="dxa"/>
          </w:tcPr>
          <w:p w:rsidR="00E050C1" w:rsidRPr="0021187E" w:rsidRDefault="00E050C1" w:rsidP="00814331">
            <w:pPr>
              <w:spacing w:line="360" w:lineRule="auto"/>
              <w:rPr>
                <w:rFonts w:cstheme="minorHAnsi"/>
              </w:rPr>
            </w:pPr>
            <w:r w:rsidRPr="0021187E">
              <w:rPr>
                <w:rFonts w:cstheme="minorHAnsi"/>
              </w:rPr>
              <w:t>Kapitálové</w:t>
            </w:r>
          </w:p>
        </w:tc>
        <w:tc>
          <w:tcPr>
            <w:tcW w:w="1220" w:type="dxa"/>
            <w:vAlign w:val="center"/>
          </w:tcPr>
          <w:p w:rsidR="00E050C1" w:rsidRPr="00E050C1" w:rsidRDefault="00E050C1" w:rsidP="00814331">
            <w:pPr>
              <w:spacing w:line="360" w:lineRule="auto"/>
              <w:jc w:val="center"/>
              <w:rPr>
                <w:rFonts w:cstheme="minorHAnsi"/>
              </w:rPr>
            </w:pPr>
            <w:r w:rsidRPr="00E050C1">
              <w:rPr>
                <w:rFonts w:cstheme="minorHAnsi"/>
              </w:rPr>
              <w:t>103</w:t>
            </w:r>
            <w:r>
              <w:rPr>
                <w:rFonts w:cstheme="minorHAnsi"/>
              </w:rPr>
              <w:t xml:space="preserve"> </w:t>
            </w:r>
            <w:r w:rsidRPr="00E050C1">
              <w:rPr>
                <w:rFonts w:cstheme="minorHAnsi"/>
              </w:rPr>
              <w:t>713,75</w:t>
            </w:r>
          </w:p>
        </w:tc>
        <w:tc>
          <w:tcPr>
            <w:tcW w:w="1220" w:type="dxa"/>
            <w:vAlign w:val="center"/>
          </w:tcPr>
          <w:p w:rsidR="00E050C1" w:rsidRPr="00E050C1" w:rsidRDefault="00E050C1" w:rsidP="00814331">
            <w:pPr>
              <w:spacing w:line="360" w:lineRule="auto"/>
              <w:jc w:val="center"/>
              <w:rPr>
                <w:rFonts w:cstheme="minorHAnsi"/>
              </w:rPr>
            </w:pPr>
            <w:r w:rsidRPr="00E050C1">
              <w:rPr>
                <w:rFonts w:cstheme="minorHAnsi"/>
              </w:rPr>
              <w:t>11</w:t>
            </w:r>
            <w:r>
              <w:rPr>
                <w:rFonts w:cstheme="minorHAnsi"/>
              </w:rPr>
              <w:t xml:space="preserve"> </w:t>
            </w:r>
            <w:r w:rsidRPr="00E050C1">
              <w:rPr>
                <w:rFonts w:cstheme="minorHAnsi"/>
              </w:rPr>
              <w:t>605,20</w:t>
            </w:r>
          </w:p>
        </w:tc>
        <w:tc>
          <w:tcPr>
            <w:tcW w:w="1283" w:type="dxa"/>
            <w:vAlign w:val="center"/>
          </w:tcPr>
          <w:p w:rsidR="00E050C1" w:rsidRPr="00E050C1" w:rsidRDefault="00E050C1" w:rsidP="00814331">
            <w:pPr>
              <w:spacing w:line="360" w:lineRule="auto"/>
              <w:jc w:val="center"/>
              <w:rPr>
                <w:rFonts w:cstheme="minorHAnsi"/>
              </w:rPr>
            </w:pPr>
            <w:r w:rsidRPr="00E050C1">
              <w:rPr>
                <w:rFonts w:cstheme="minorHAnsi"/>
              </w:rPr>
              <w:t>5</w:t>
            </w:r>
            <w:r>
              <w:rPr>
                <w:rFonts w:cstheme="minorHAnsi"/>
              </w:rPr>
              <w:t xml:space="preserve"> </w:t>
            </w:r>
            <w:r w:rsidRPr="00E050C1">
              <w:rPr>
                <w:rFonts w:cstheme="minorHAnsi"/>
              </w:rPr>
              <w:t>000</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12</w:t>
            </w:r>
            <w:r>
              <w:rPr>
                <w:rFonts w:cstheme="minorHAnsi"/>
              </w:rPr>
              <w:t xml:space="preserve"> </w:t>
            </w:r>
            <w:r w:rsidRPr="00E050C1">
              <w:rPr>
                <w:rFonts w:cstheme="minorHAnsi"/>
              </w:rPr>
              <w:t>000</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0</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0</w:t>
            </w:r>
          </w:p>
        </w:tc>
      </w:tr>
      <w:tr w:rsidR="00E050C1" w:rsidRPr="0002205A" w:rsidTr="0021187E">
        <w:tc>
          <w:tcPr>
            <w:tcW w:w="1668" w:type="dxa"/>
          </w:tcPr>
          <w:p w:rsidR="00E050C1" w:rsidRPr="0021187E" w:rsidRDefault="00E050C1" w:rsidP="00814331">
            <w:pPr>
              <w:spacing w:line="360" w:lineRule="auto"/>
              <w:rPr>
                <w:rFonts w:cstheme="minorHAnsi"/>
              </w:rPr>
            </w:pPr>
            <w:r w:rsidRPr="0021187E">
              <w:rPr>
                <w:rFonts w:cstheme="minorHAnsi"/>
              </w:rPr>
              <w:t xml:space="preserve">Finančné </w:t>
            </w:r>
            <w:proofErr w:type="spellStart"/>
            <w:r w:rsidRPr="0021187E">
              <w:rPr>
                <w:rFonts w:cstheme="minorHAnsi"/>
              </w:rPr>
              <w:t>op</w:t>
            </w:r>
            <w:proofErr w:type="spellEnd"/>
            <w:r w:rsidRPr="0021187E">
              <w:rPr>
                <w:rFonts w:cstheme="minorHAnsi"/>
              </w:rPr>
              <w:t>.</w:t>
            </w:r>
          </w:p>
        </w:tc>
        <w:tc>
          <w:tcPr>
            <w:tcW w:w="1220" w:type="dxa"/>
            <w:vAlign w:val="center"/>
          </w:tcPr>
          <w:p w:rsidR="00E050C1" w:rsidRPr="00E050C1" w:rsidRDefault="00E050C1" w:rsidP="00814331">
            <w:pPr>
              <w:spacing w:line="360" w:lineRule="auto"/>
              <w:jc w:val="center"/>
              <w:rPr>
                <w:rFonts w:cstheme="minorHAnsi"/>
              </w:rPr>
            </w:pPr>
            <w:r w:rsidRPr="00E050C1">
              <w:rPr>
                <w:rFonts w:cstheme="minorHAnsi"/>
              </w:rPr>
              <w:t>86</w:t>
            </w:r>
            <w:r>
              <w:rPr>
                <w:rFonts w:cstheme="minorHAnsi"/>
              </w:rPr>
              <w:t xml:space="preserve"> </w:t>
            </w:r>
            <w:r w:rsidRPr="00E050C1">
              <w:rPr>
                <w:rFonts w:cstheme="minorHAnsi"/>
              </w:rPr>
              <w:t>898,5</w:t>
            </w:r>
            <w:r>
              <w:rPr>
                <w:rFonts w:cstheme="minorHAnsi"/>
              </w:rPr>
              <w:t>0</w:t>
            </w:r>
          </w:p>
        </w:tc>
        <w:tc>
          <w:tcPr>
            <w:tcW w:w="1220" w:type="dxa"/>
            <w:vAlign w:val="center"/>
          </w:tcPr>
          <w:p w:rsidR="00E050C1" w:rsidRPr="00E050C1" w:rsidRDefault="00E050C1" w:rsidP="00814331">
            <w:pPr>
              <w:spacing w:line="360" w:lineRule="auto"/>
              <w:jc w:val="center"/>
              <w:rPr>
                <w:rFonts w:cstheme="minorHAnsi"/>
              </w:rPr>
            </w:pPr>
            <w:r w:rsidRPr="00E050C1">
              <w:rPr>
                <w:rFonts w:cstheme="minorHAnsi"/>
              </w:rPr>
              <w:t>49</w:t>
            </w:r>
            <w:r w:rsidR="00555DC3">
              <w:rPr>
                <w:rFonts w:cstheme="minorHAnsi"/>
              </w:rPr>
              <w:t xml:space="preserve"> </w:t>
            </w:r>
            <w:r w:rsidRPr="00E050C1">
              <w:rPr>
                <w:rFonts w:cstheme="minorHAnsi"/>
              </w:rPr>
              <w:t>925,32</w:t>
            </w:r>
          </w:p>
        </w:tc>
        <w:tc>
          <w:tcPr>
            <w:tcW w:w="1283" w:type="dxa"/>
            <w:vAlign w:val="center"/>
          </w:tcPr>
          <w:p w:rsidR="00E050C1" w:rsidRPr="00E050C1" w:rsidRDefault="00E050C1" w:rsidP="00814331">
            <w:pPr>
              <w:spacing w:line="360" w:lineRule="auto"/>
              <w:jc w:val="center"/>
              <w:rPr>
                <w:rFonts w:cstheme="minorHAnsi"/>
              </w:rPr>
            </w:pPr>
            <w:r w:rsidRPr="00E050C1">
              <w:rPr>
                <w:rFonts w:cstheme="minorHAnsi"/>
              </w:rPr>
              <w:t>17</w:t>
            </w:r>
            <w:r w:rsidR="0049543B">
              <w:rPr>
                <w:rFonts w:cstheme="minorHAnsi"/>
              </w:rPr>
              <w:t xml:space="preserve"> </w:t>
            </w:r>
            <w:r w:rsidRPr="00E050C1">
              <w:rPr>
                <w:rFonts w:cstheme="minorHAnsi"/>
              </w:rPr>
              <w:t>400</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3</w:t>
            </w:r>
            <w:r w:rsidR="00555DC3">
              <w:rPr>
                <w:rFonts w:cstheme="minorHAnsi"/>
              </w:rPr>
              <w:t xml:space="preserve"> </w:t>
            </w:r>
            <w:r w:rsidRPr="00E050C1">
              <w:rPr>
                <w:rFonts w:cstheme="minorHAnsi"/>
              </w:rPr>
              <w:t>200</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0</w:t>
            </w:r>
          </w:p>
        </w:tc>
        <w:tc>
          <w:tcPr>
            <w:tcW w:w="1122" w:type="dxa"/>
            <w:vAlign w:val="center"/>
          </w:tcPr>
          <w:p w:rsidR="00E050C1" w:rsidRPr="00E050C1" w:rsidRDefault="00E050C1" w:rsidP="00814331">
            <w:pPr>
              <w:spacing w:line="360" w:lineRule="auto"/>
              <w:jc w:val="center"/>
              <w:rPr>
                <w:rFonts w:cstheme="minorHAnsi"/>
              </w:rPr>
            </w:pPr>
            <w:r w:rsidRPr="00E050C1">
              <w:rPr>
                <w:rFonts w:cstheme="minorHAnsi"/>
              </w:rPr>
              <w:t>0</w:t>
            </w:r>
          </w:p>
        </w:tc>
      </w:tr>
      <w:tr w:rsidR="00E050C1" w:rsidRPr="0002205A" w:rsidTr="0021187E">
        <w:tc>
          <w:tcPr>
            <w:tcW w:w="1668" w:type="dxa"/>
          </w:tcPr>
          <w:p w:rsidR="00E050C1" w:rsidRPr="0021187E" w:rsidRDefault="00E050C1" w:rsidP="00814331">
            <w:pPr>
              <w:spacing w:line="360" w:lineRule="auto"/>
              <w:rPr>
                <w:rFonts w:cstheme="minorHAnsi"/>
              </w:rPr>
            </w:pPr>
            <w:r w:rsidRPr="0021187E">
              <w:rPr>
                <w:rFonts w:cstheme="minorHAnsi"/>
              </w:rPr>
              <w:t>Príjmy spolu</w:t>
            </w:r>
          </w:p>
        </w:tc>
        <w:tc>
          <w:tcPr>
            <w:tcW w:w="1220" w:type="dxa"/>
            <w:vAlign w:val="center"/>
          </w:tcPr>
          <w:p w:rsidR="00E050C1" w:rsidRPr="0021187E" w:rsidRDefault="0090726A" w:rsidP="00814331">
            <w:pPr>
              <w:spacing w:line="360" w:lineRule="auto"/>
              <w:jc w:val="center"/>
              <w:rPr>
                <w:rFonts w:cstheme="minorHAnsi"/>
              </w:rPr>
            </w:pPr>
            <w:r w:rsidRPr="0021187E">
              <w:rPr>
                <w:rFonts w:cstheme="minorHAnsi"/>
              </w:rPr>
              <w:t>984 234,04</w:t>
            </w:r>
          </w:p>
        </w:tc>
        <w:tc>
          <w:tcPr>
            <w:tcW w:w="1220" w:type="dxa"/>
            <w:vAlign w:val="center"/>
          </w:tcPr>
          <w:p w:rsidR="00E050C1" w:rsidRPr="0021187E" w:rsidRDefault="00F4703B" w:rsidP="00814331">
            <w:pPr>
              <w:spacing w:line="360" w:lineRule="auto"/>
              <w:jc w:val="center"/>
              <w:rPr>
                <w:rFonts w:cstheme="minorHAnsi"/>
              </w:rPr>
            </w:pPr>
            <w:r w:rsidRPr="0021187E">
              <w:rPr>
                <w:rFonts w:cstheme="minorHAnsi"/>
              </w:rPr>
              <w:t>989 182,67</w:t>
            </w:r>
          </w:p>
        </w:tc>
        <w:tc>
          <w:tcPr>
            <w:tcW w:w="1283" w:type="dxa"/>
            <w:vAlign w:val="center"/>
          </w:tcPr>
          <w:p w:rsidR="00E050C1" w:rsidRPr="0021187E" w:rsidRDefault="0021187E" w:rsidP="00814331">
            <w:pPr>
              <w:spacing w:line="360" w:lineRule="auto"/>
              <w:jc w:val="center"/>
              <w:rPr>
                <w:rFonts w:cstheme="minorHAnsi"/>
              </w:rPr>
            </w:pPr>
            <w:r w:rsidRPr="0021187E">
              <w:rPr>
                <w:rFonts w:cstheme="minorHAnsi"/>
              </w:rPr>
              <w:t>823 827</w:t>
            </w:r>
          </w:p>
        </w:tc>
        <w:tc>
          <w:tcPr>
            <w:tcW w:w="1122" w:type="dxa"/>
            <w:vAlign w:val="center"/>
          </w:tcPr>
          <w:p w:rsidR="00E050C1" w:rsidRPr="0021187E" w:rsidRDefault="0021187E" w:rsidP="00814331">
            <w:pPr>
              <w:spacing w:line="360" w:lineRule="auto"/>
              <w:jc w:val="center"/>
              <w:rPr>
                <w:rFonts w:cstheme="minorHAnsi"/>
              </w:rPr>
            </w:pPr>
            <w:r w:rsidRPr="0021187E">
              <w:rPr>
                <w:rFonts w:cstheme="minorHAnsi"/>
              </w:rPr>
              <w:t>868 925</w:t>
            </w:r>
          </w:p>
        </w:tc>
        <w:tc>
          <w:tcPr>
            <w:tcW w:w="1122" w:type="dxa"/>
            <w:vAlign w:val="center"/>
          </w:tcPr>
          <w:p w:rsidR="00E050C1" w:rsidRPr="0021187E" w:rsidRDefault="0021187E" w:rsidP="00814331">
            <w:pPr>
              <w:spacing w:line="360" w:lineRule="auto"/>
              <w:jc w:val="center"/>
              <w:rPr>
                <w:rFonts w:cstheme="minorHAnsi"/>
              </w:rPr>
            </w:pPr>
            <w:r w:rsidRPr="0021187E">
              <w:rPr>
                <w:rFonts w:cstheme="minorHAnsi"/>
              </w:rPr>
              <w:t>816 010</w:t>
            </w:r>
          </w:p>
        </w:tc>
        <w:tc>
          <w:tcPr>
            <w:tcW w:w="1122" w:type="dxa"/>
            <w:vAlign w:val="center"/>
          </w:tcPr>
          <w:p w:rsidR="00E050C1" w:rsidRPr="0021187E" w:rsidRDefault="0021187E" w:rsidP="00814331">
            <w:pPr>
              <w:spacing w:line="360" w:lineRule="auto"/>
              <w:jc w:val="center"/>
              <w:rPr>
                <w:rFonts w:cstheme="minorHAnsi"/>
              </w:rPr>
            </w:pPr>
            <w:r w:rsidRPr="0021187E">
              <w:rPr>
                <w:rFonts w:cstheme="minorHAnsi"/>
              </w:rPr>
              <w:t>856 310</w:t>
            </w:r>
          </w:p>
        </w:tc>
      </w:tr>
    </w:tbl>
    <w:p w:rsidR="009F3097" w:rsidRPr="0002205A" w:rsidRDefault="009F3097" w:rsidP="009F3097">
      <w:pPr>
        <w:rPr>
          <w:rFonts w:cstheme="minorHAnsi"/>
          <w:sz w:val="24"/>
          <w:szCs w:val="24"/>
        </w:rPr>
      </w:pPr>
    </w:p>
    <w:tbl>
      <w:tblPr>
        <w:tblStyle w:val="Mriekatabuky"/>
        <w:tblW w:w="0" w:type="auto"/>
        <w:tblLook w:val="04A0" w:firstRow="1" w:lastRow="0" w:firstColumn="1" w:lastColumn="0" w:noHBand="0" w:noVBand="1"/>
      </w:tblPr>
      <w:tblGrid>
        <w:gridCol w:w="1668"/>
        <w:gridCol w:w="1250"/>
        <w:gridCol w:w="1213"/>
        <w:gridCol w:w="1195"/>
        <w:gridCol w:w="1213"/>
        <w:gridCol w:w="1150"/>
        <w:gridCol w:w="1066"/>
      </w:tblGrid>
      <w:tr w:rsidR="0021187E" w:rsidRPr="0002205A" w:rsidTr="00555DC3">
        <w:tc>
          <w:tcPr>
            <w:tcW w:w="1668" w:type="dxa"/>
            <w:vAlign w:val="center"/>
          </w:tcPr>
          <w:p w:rsidR="0021187E" w:rsidRPr="002D5842" w:rsidRDefault="0021187E" w:rsidP="00555DC3">
            <w:pPr>
              <w:rPr>
                <w:rFonts w:cstheme="minorHAnsi"/>
                <w:b/>
              </w:rPr>
            </w:pPr>
            <w:r w:rsidRPr="002D5842">
              <w:rPr>
                <w:rFonts w:cstheme="minorHAnsi"/>
                <w:b/>
              </w:rPr>
              <w:t>Výdavky:</w:t>
            </w:r>
          </w:p>
          <w:p w:rsidR="0021187E" w:rsidRPr="0021187E" w:rsidRDefault="0021187E" w:rsidP="00555DC3">
            <w:pPr>
              <w:rPr>
                <w:rFonts w:cstheme="minorHAnsi"/>
              </w:rPr>
            </w:pPr>
          </w:p>
        </w:tc>
        <w:tc>
          <w:tcPr>
            <w:tcW w:w="1250" w:type="dxa"/>
            <w:vAlign w:val="center"/>
          </w:tcPr>
          <w:p w:rsidR="0021187E" w:rsidRPr="0021187E" w:rsidRDefault="0021187E" w:rsidP="00555DC3">
            <w:pPr>
              <w:jc w:val="center"/>
              <w:rPr>
                <w:rFonts w:cstheme="minorHAnsi"/>
              </w:rPr>
            </w:pPr>
            <w:r w:rsidRPr="0021187E">
              <w:rPr>
                <w:rFonts w:cstheme="minorHAnsi"/>
              </w:rPr>
              <w:t>Skutočné plnenie 2015</w:t>
            </w:r>
          </w:p>
        </w:tc>
        <w:tc>
          <w:tcPr>
            <w:tcW w:w="1213" w:type="dxa"/>
            <w:vAlign w:val="center"/>
          </w:tcPr>
          <w:p w:rsidR="0021187E" w:rsidRPr="0021187E" w:rsidRDefault="0021187E" w:rsidP="00555DC3">
            <w:pPr>
              <w:jc w:val="center"/>
              <w:rPr>
                <w:rFonts w:cstheme="minorHAnsi"/>
              </w:rPr>
            </w:pPr>
            <w:r w:rsidRPr="0021187E">
              <w:rPr>
                <w:rFonts w:cstheme="minorHAnsi"/>
              </w:rPr>
              <w:t>Skutočné plnenie 2016</w:t>
            </w:r>
          </w:p>
        </w:tc>
        <w:tc>
          <w:tcPr>
            <w:tcW w:w="1195" w:type="dxa"/>
            <w:vAlign w:val="center"/>
          </w:tcPr>
          <w:p w:rsidR="0021187E" w:rsidRPr="0021187E" w:rsidRDefault="0021187E" w:rsidP="00555DC3">
            <w:pPr>
              <w:jc w:val="center"/>
              <w:rPr>
                <w:rFonts w:cstheme="minorHAnsi"/>
              </w:rPr>
            </w:pPr>
            <w:r w:rsidRPr="0021187E">
              <w:rPr>
                <w:rFonts w:cstheme="minorHAnsi"/>
              </w:rPr>
              <w:t>Očakávaná skutočnosť 2017</w:t>
            </w:r>
          </w:p>
        </w:tc>
        <w:tc>
          <w:tcPr>
            <w:tcW w:w="1213" w:type="dxa"/>
            <w:vAlign w:val="center"/>
          </w:tcPr>
          <w:p w:rsidR="0021187E" w:rsidRPr="0021187E" w:rsidRDefault="0021187E" w:rsidP="00555DC3">
            <w:pPr>
              <w:jc w:val="center"/>
              <w:rPr>
                <w:rFonts w:cstheme="minorHAnsi"/>
              </w:rPr>
            </w:pPr>
            <w:r w:rsidRPr="0021187E">
              <w:rPr>
                <w:rFonts w:cstheme="minorHAnsi"/>
              </w:rPr>
              <w:t>Rozpočet rok 2018</w:t>
            </w:r>
          </w:p>
        </w:tc>
        <w:tc>
          <w:tcPr>
            <w:tcW w:w="1150" w:type="dxa"/>
            <w:vAlign w:val="center"/>
          </w:tcPr>
          <w:p w:rsidR="0021187E" w:rsidRPr="0021187E" w:rsidRDefault="0021187E" w:rsidP="00555DC3">
            <w:pPr>
              <w:jc w:val="center"/>
              <w:rPr>
                <w:rFonts w:cstheme="minorHAnsi"/>
              </w:rPr>
            </w:pPr>
            <w:r w:rsidRPr="0021187E">
              <w:rPr>
                <w:rFonts w:cstheme="minorHAnsi"/>
              </w:rPr>
              <w:t>Rozpočet 2019</w:t>
            </w:r>
          </w:p>
        </w:tc>
        <w:tc>
          <w:tcPr>
            <w:tcW w:w="1066" w:type="dxa"/>
            <w:vAlign w:val="center"/>
          </w:tcPr>
          <w:p w:rsidR="0021187E" w:rsidRPr="0021187E" w:rsidRDefault="0021187E" w:rsidP="00555DC3">
            <w:pPr>
              <w:jc w:val="center"/>
              <w:rPr>
                <w:rFonts w:cstheme="minorHAnsi"/>
              </w:rPr>
            </w:pPr>
            <w:r w:rsidRPr="0021187E">
              <w:rPr>
                <w:rFonts w:cstheme="minorHAnsi"/>
              </w:rPr>
              <w:t>Rozpočet 2020</w:t>
            </w:r>
          </w:p>
        </w:tc>
      </w:tr>
      <w:tr w:rsidR="0021187E" w:rsidRPr="0002205A" w:rsidTr="00555DC3">
        <w:tc>
          <w:tcPr>
            <w:tcW w:w="1668" w:type="dxa"/>
            <w:vAlign w:val="center"/>
          </w:tcPr>
          <w:p w:rsidR="0021187E" w:rsidRPr="0021187E" w:rsidRDefault="0021187E" w:rsidP="00814331">
            <w:pPr>
              <w:spacing w:line="360" w:lineRule="auto"/>
              <w:rPr>
                <w:rFonts w:cstheme="minorHAnsi"/>
              </w:rPr>
            </w:pPr>
            <w:r w:rsidRPr="0021187E">
              <w:rPr>
                <w:rFonts w:cstheme="minorHAnsi"/>
              </w:rPr>
              <w:t>Bežné</w:t>
            </w:r>
          </w:p>
        </w:tc>
        <w:tc>
          <w:tcPr>
            <w:tcW w:w="1250" w:type="dxa"/>
            <w:vAlign w:val="center"/>
          </w:tcPr>
          <w:p w:rsidR="0021187E" w:rsidRPr="0021187E" w:rsidRDefault="0021187E" w:rsidP="00814331">
            <w:pPr>
              <w:spacing w:line="360" w:lineRule="auto"/>
              <w:jc w:val="center"/>
              <w:rPr>
                <w:rFonts w:cstheme="minorHAnsi"/>
              </w:rPr>
            </w:pPr>
            <w:r w:rsidRPr="0021187E">
              <w:rPr>
                <w:rFonts w:cstheme="minorHAnsi"/>
              </w:rPr>
              <w:t>757</w:t>
            </w:r>
            <w:r w:rsidR="00555DC3">
              <w:rPr>
                <w:rFonts w:cstheme="minorHAnsi"/>
              </w:rPr>
              <w:t xml:space="preserve"> </w:t>
            </w:r>
            <w:r w:rsidRPr="0021187E">
              <w:rPr>
                <w:rFonts w:cstheme="minorHAnsi"/>
              </w:rPr>
              <w:t>073</w:t>
            </w:r>
          </w:p>
        </w:tc>
        <w:tc>
          <w:tcPr>
            <w:tcW w:w="1213" w:type="dxa"/>
            <w:vAlign w:val="center"/>
          </w:tcPr>
          <w:p w:rsidR="0021187E" w:rsidRPr="0021187E" w:rsidRDefault="0021187E" w:rsidP="00814331">
            <w:pPr>
              <w:spacing w:line="360" w:lineRule="auto"/>
              <w:jc w:val="center"/>
              <w:rPr>
                <w:rFonts w:cstheme="minorHAnsi"/>
              </w:rPr>
            </w:pPr>
            <w:r w:rsidRPr="0021187E">
              <w:rPr>
                <w:rFonts w:cstheme="minorHAnsi"/>
              </w:rPr>
              <w:t>833</w:t>
            </w:r>
            <w:r w:rsidR="00555DC3">
              <w:rPr>
                <w:rFonts w:cstheme="minorHAnsi"/>
              </w:rPr>
              <w:t xml:space="preserve"> </w:t>
            </w:r>
            <w:r w:rsidRPr="0021187E">
              <w:rPr>
                <w:rFonts w:cstheme="minorHAnsi"/>
              </w:rPr>
              <w:t>868,5</w:t>
            </w:r>
          </w:p>
        </w:tc>
        <w:tc>
          <w:tcPr>
            <w:tcW w:w="1195" w:type="dxa"/>
            <w:vAlign w:val="center"/>
          </w:tcPr>
          <w:p w:rsidR="0021187E" w:rsidRPr="0021187E" w:rsidRDefault="0021187E" w:rsidP="00814331">
            <w:pPr>
              <w:spacing w:line="360" w:lineRule="auto"/>
              <w:jc w:val="center"/>
              <w:rPr>
                <w:rFonts w:cstheme="minorHAnsi"/>
              </w:rPr>
            </w:pPr>
            <w:r w:rsidRPr="0021187E">
              <w:rPr>
                <w:rFonts w:cstheme="minorHAnsi"/>
              </w:rPr>
              <w:t>761</w:t>
            </w:r>
            <w:r w:rsidR="00555DC3">
              <w:rPr>
                <w:rFonts w:cstheme="minorHAnsi"/>
              </w:rPr>
              <w:t xml:space="preserve"> </w:t>
            </w:r>
            <w:r w:rsidRPr="0021187E">
              <w:rPr>
                <w:rFonts w:cstheme="minorHAnsi"/>
              </w:rPr>
              <w:t>058</w:t>
            </w:r>
          </w:p>
        </w:tc>
        <w:tc>
          <w:tcPr>
            <w:tcW w:w="1213" w:type="dxa"/>
            <w:vAlign w:val="center"/>
          </w:tcPr>
          <w:p w:rsidR="0021187E" w:rsidRPr="0021187E" w:rsidRDefault="0021187E" w:rsidP="00814331">
            <w:pPr>
              <w:spacing w:line="360" w:lineRule="auto"/>
              <w:jc w:val="center"/>
              <w:rPr>
                <w:rFonts w:cstheme="minorHAnsi"/>
              </w:rPr>
            </w:pPr>
            <w:r w:rsidRPr="0021187E">
              <w:rPr>
                <w:rFonts w:cstheme="minorHAnsi"/>
              </w:rPr>
              <w:t>816</w:t>
            </w:r>
            <w:r w:rsidR="00555DC3">
              <w:rPr>
                <w:rFonts w:cstheme="minorHAnsi"/>
              </w:rPr>
              <w:t xml:space="preserve"> </w:t>
            </w:r>
            <w:r w:rsidRPr="0021187E">
              <w:rPr>
                <w:rFonts w:cstheme="minorHAnsi"/>
              </w:rPr>
              <w:t>276</w:t>
            </w:r>
          </w:p>
        </w:tc>
        <w:tc>
          <w:tcPr>
            <w:tcW w:w="1150" w:type="dxa"/>
            <w:vAlign w:val="center"/>
          </w:tcPr>
          <w:p w:rsidR="0021187E" w:rsidRPr="0021187E" w:rsidRDefault="0021187E" w:rsidP="00814331">
            <w:pPr>
              <w:spacing w:line="360" w:lineRule="auto"/>
              <w:jc w:val="center"/>
              <w:rPr>
                <w:rFonts w:cstheme="minorHAnsi"/>
              </w:rPr>
            </w:pPr>
            <w:r w:rsidRPr="0021187E">
              <w:rPr>
                <w:rFonts w:cstheme="minorHAnsi"/>
              </w:rPr>
              <w:t>786</w:t>
            </w:r>
            <w:r w:rsidR="00555DC3">
              <w:rPr>
                <w:rFonts w:cstheme="minorHAnsi"/>
              </w:rPr>
              <w:t xml:space="preserve"> </w:t>
            </w:r>
            <w:r w:rsidRPr="0021187E">
              <w:rPr>
                <w:rFonts w:cstheme="minorHAnsi"/>
              </w:rPr>
              <w:t>700</w:t>
            </w:r>
          </w:p>
        </w:tc>
        <w:tc>
          <w:tcPr>
            <w:tcW w:w="1066" w:type="dxa"/>
            <w:vAlign w:val="center"/>
          </w:tcPr>
          <w:p w:rsidR="0021187E" w:rsidRPr="0021187E" w:rsidRDefault="0021187E" w:rsidP="00814331">
            <w:pPr>
              <w:spacing w:line="360" w:lineRule="auto"/>
              <w:jc w:val="center"/>
              <w:rPr>
                <w:rFonts w:cstheme="minorHAnsi"/>
              </w:rPr>
            </w:pPr>
            <w:r w:rsidRPr="0021187E">
              <w:rPr>
                <w:rFonts w:cstheme="minorHAnsi"/>
              </w:rPr>
              <w:t>823</w:t>
            </w:r>
            <w:r w:rsidR="00555DC3">
              <w:rPr>
                <w:rFonts w:cstheme="minorHAnsi"/>
              </w:rPr>
              <w:t xml:space="preserve"> </w:t>
            </w:r>
            <w:r w:rsidRPr="0021187E">
              <w:rPr>
                <w:rFonts w:cstheme="minorHAnsi"/>
              </w:rPr>
              <w:t>660</w:t>
            </w:r>
          </w:p>
        </w:tc>
      </w:tr>
      <w:tr w:rsidR="0021187E" w:rsidRPr="0002205A" w:rsidTr="00555DC3">
        <w:tc>
          <w:tcPr>
            <w:tcW w:w="1668" w:type="dxa"/>
            <w:vAlign w:val="center"/>
          </w:tcPr>
          <w:p w:rsidR="0021187E" w:rsidRPr="0021187E" w:rsidRDefault="0021187E" w:rsidP="00814331">
            <w:pPr>
              <w:spacing w:line="360" w:lineRule="auto"/>
              <w:rPr>
                <w:rFonts w:cstheme="minorHAnsi"/>
              </w:rPr>
            </w:pPr>
            <w:r w:rsidRPr="0021187E">
              <w:rPr>
                <w:rFonts w:cstheme="minorHAnsi"/>
              </w:rPr>
              <w:t>Kapitálové</w:t>
            </w:r>
          </w:p>
        </w:tc>
        <w:tc>
          <w:tcPr>
            <w:tcW w:w="1250" w:type="dxa"/>
            <w:vAlign w:val="center"/>
          </w:tcPr>
          <w:p w:rsidR="0021187E" w:rsidRPr="0021187E" w:rsidRDefault="0021187E" w:rsidP="00814331">
            <w:pPr>
              <w:spacing w:line="360" w:lineRule="auto"/>
              <w:jc w:val="center"/>
              <w:rPr>
                <w:rFonts w:cstheme="minorHAnsi"/>
              </w:rPr>
            </w:pPr>
            <w:r w:rsidRPr="0021187E">
              <w:rPr>
                <w:rFonts w:cstheme="minorHAnsi"/>
              </w:rPr>
              <w:t>185</w:t>
            </w:r>
            <w:r w:rsidR="00555DC3">
              <w:rPr>
                <w:rFonts w:cstheme="minorHAnsi"/>
              </w:rPr>
              <w:t xml:space="preserve"> </w:t>
            </w:r>
            <w:r w:rsidRPr="0021187E">
              <w:rPr>
                <w:rFonts w:cstheme="minorHAnsi"/>
              </w:rPr>
              <w:t>979,91</w:t>
            </w:r>
          </w:p>
        </w:tc>
        <w:tc>
          <w:tcPr>
            <w:tcW w:w="1213" w:type="dxa"/>
            <w:vAlign w:val="center"/>
          </w:tcPr>
          <w:p w:rsidR="0021187E" w:rsidRPr="0021187E" w:rsidRDefault="0021187E" w:rsidP="00814331">
            <w:pPr>
              <w:spacing w:line="360" w:lineRule="auto"/>
              <w:jc w:val="center"/>
              <w:rPr>
                <w:rFonts w:cstheme="minorHAnsi"/>
              </w:rPr>
            </w:pPr>
            <w:r w:rsidRPr="0021187E">
              <w:rPr>
                <w:rFonts w:cstheme="minorHAnsi"/>
              </w:rPr>
              <w:t>31</w:t>
            </w:r>
            <w:r w:rsidR="00555DC3">
              <w:rPr>
                <w:rFonts w:cstheme="minorHAnsi"/>
              </w:rPr>
              <w:t xml:space="preserve"> </w:t>
            </w:r>
            <w:r w:rsidRPr="0021187E">
              <w:rPr>
                <w:rFonts w:cstheme="minorHAnsi"/>
              </w:rPr>
              <w:t>306,38</w:t>
            </w:r>
          </w:p>
        </w:tc>
        <w:tc>
          <w:tcPr>
            <w:tcW w:w="1195" w:type="dxa"/>
            <w:vAlign w:val="center"/>
          </w:tcPr>
          <w:p w:rsidR="0021187E" w:rsidRPr="0021187E" w:rsidRDefault="0021187E" w:rsidP="00814331">
            <w:pPr>
              <w:spacing w:line="360" w:lineRule="auto"/>
              <w:jc w:val="center"/>
              <w:rPr>
                <w:rFonts w:cstheme="minorHAnsi"/>
              </w:rPr>
            </w:pPr>
            <w:r w:rsidRPr="0021187E">
              <w:rPr>
                <w:rFonts w:cstheme="minorHAnsi"/>
              </w:rPr>
              <w:t>34</w:t>
            </w:r>
            <w:r w:rsidR="00555DC3">
              <w:rPr>
                <w:rFonts w:cstheme="minorHAnsi"/>
              </w:rPr>
              <w:t xml:space="preserve"> </w:t>
            </w:r>
            <w:r w:rsidRPr="0021187E">
              <w:rPr>
                <w:rFonts w:cstheme="minorHAnsi"/>
              </w:rPr>
              <w:t>200</w:t>
            </w:r>
          </w:p>
        </w:tc>
        <w:tc>
          <w:tcPr>
            <w:tcW w:w="1213" w:type="dxa"/>
            <w:vAlign w:val="center"/>
          </w:tcPr>
          <w:p w:rsidR="0021187E" w:rsidRPr="0021187E" w:rsidRDefault="0021187E" w:rsidP="00814331">
            <w:pPr>
              <w:spacing w:line="360" w:lineRule="auto"/>
              <w:jc w:val="center"/>
              <w:rPr>
                <w:rFonts w:cstheme="minorHAnsi"/>
              </w:rPr>
            </w:pPr>
            <w:r w:rsidRPr="0021187E">
              <w:rPr>
                <w:rFonts w:cstheme="minorHAnsi"/>
              </w:rPr>
              <w:t>28</w:t>
            </w:r>
            <w:r w:rsidR="00555DC3">
              <w:rPr>
                <w:rFonts w:cstheme="minorHAnsi"/>
              </w:rPr>
              <w:t xml:space="preserve"> </w:t>
            </w:r>
            <w:r w:rsidRPr="0021187E">
              <w:rPr>
                <w:rFonts w:cstheme="minorHAnsi"/>
              </w:rPr>
              <w:t>500</w:t>
            </w:r>
          </w:p>
        </w:tc>
        <w:tc>
          <w:tcPr>
            <w:tcW w:w="1150" w:type="dxa"/>
            <w:vAlign w:val="center"/>
          </w:tcPr>
          <w:p w:rsidR="0021187E" w:rsidRPr="0021187E" w:rsidRDefault="0021187E" w:rsidP="00814331">
            <w:pPr>
              <w:spacing w:line="360" w:lineRule="auto"/>
              <w:jc w:val="center"/>
              <w:rPr>
                <w:rFonts w:cstheme="minorHAnsi"/>
              </w:rPr>
            </w:pPr>
            <w:r w:rsidRPr="0021187E">
              <w:rPr>
                <w:rFonts w:cstheme="minorHAnsi"/>
              </w:rPr>
              <w:t>0</w:t>
            </w:r>
          </w:p>
        </w:tc>
        <w:tc>
          <w:tcPr>
            <w:tcW w:w="1066" w:type="dxa"/>
            <w:vAlign w:val="center"/>
          </w:tcPr>
          <w:p w:rsidR="0021187E" w:rsidRPr="0021187E" w:rsidRDefault="0021187E" w:rsidP="00814331">
            <w:pPr>
              <w:spacing w:line="360" w:lineRule="auto"/>
              <w:jc w:val="center"/>
              <w:rPr>
                <w:rFonts w:cstheme="minorHAnsi"/>
              </w:rPr>
            </w:pPr>
            <w:r w:rsidRPr="0021187E">
              <w:rPr>
                <w:rFonts w:cstheme="minorHAnsi"/>
              </w:rPr>
              <w:t>0</w:t>
            </w:r>
          </w:p>
        </w:tc>
      </w:tr>
      <w:tr w:rsidR="0021187E" w:rsidRPr="0002205A" w:rsidTr="00555DC3">
        <w:tc>
          <w:tcPr>
            <w:tcW w:w="1668" w:type="dxa"/>
            <w:vAlign w:val="center"/>
          </w:tcPr>
          <w:p w:rsidR="0021187E" w:rsidRPr="0021187E" w:rsidRDefault="0021187E" w:rsidP="00814331">
            <w:pPr>
              <w:spacing w:line="360" w:lineRule="auto"/>
              <w:rPr>
                <w:rFonts w:cstheme="minorHAnsi"/>
              </w:rPr>
            </w:pPr>
            <w:r w:rsidRPr="0021187E">
              <w:rPr>
                <w:rFonts w:cstheme="minorHAnsi"/>
              </w:rPr>
              <w:t xml:space="preserve">Finančné </w:t>
            </w:r>
            <w:proofErr w:type="spellStart"/>
            <w:r w:rsidRPr="0021187E">
              <w:rPr>
                <w:rFonts w:cstheme="minorHAnsi"/>
              </w:rPr>
              <w:t>op</w:t>
            </w:r>
            <w:proofErr w:type="spellEnd"/>
            <w:r w:rsidRPr="0021187E">
              <w:rPr>
                <w:rFonts w:cstheme="minorHAnsi"/>
              </w:rPr>
              <w:t>.</w:t>
            </w:r>
          </w:p>
        </w:tc>
        <w:tc>
          <w:tcPr>
            <w:tcW w:w="1250" w:type="dxa"/>
            <w:vAlign w:val="center"/>
          </w:tcPr>
          <w:p w:rsidR="0021187E" w:rsidRPr="0021187E" w:rsidRDefault="0021187E" w:rsidP="00814331">
            <w:pPr>
              <w:spacing w:line="360" w:lineRule="auto"/>
              <w:jc w:val="center"/>
              <w:rPr>
                <w:rFonts w:cstheme="minorHAnsi"/>
              </w:rPr>
            </w:pPr>
            <w:r w:rsidRPr="0021187E">
              <w:rPr>
                <w:rFonts w:cstheme="minorHAnsi"/>
              </w:rPr>
              <w:t>40</w:t>
            </w:r>
            <w:r w:rsidR="00555DC3">
              <w:rPr>
                <w:rFonts w:cstheme="minorHAnsi"/>
              </w:rPr>
              <w:t xml:space="preserve"> </w:t>
            </w:r>
            <w:r w:rsidRPr="0021187E">
              <w:rPr>
                <w:rFonts w:cstheme="minorHAnsi"/>
              </w:rPr>
              <w:t>344,8</w:t>
            </w:r>
          </w:p>
        </w:tc>
        <w:tc>
          <w:tcPr>
            <w:tcW w:w="1213" w:type="dxa"/>
            <w:vAlign w:val="center"/>
          </w:tcPr>
          <w:p w:rsidR="0021187E" w:rsidRPr="0021187E" w:rsidRDefault="0021187E" w:rsidP="00814331">
            <w:pPr>
              <w:spacing w:line="360" w:lineRule="auto"/>
              <w:jc w:val="center"/>
              <w:rPr>
                <w:rFonts w:cstheme="minorHAnsi"/>
              </w:rPr>
            </w:pPr>
            <w:r w:rsidRPr="0021187E">
              <w:rPr>
                <w:rFonts w:cstheme="minorHAnsi"/>
              </w:rPr>
              <w:t>65</w:t>
            </w:r>
            <w:r w:rsidR="00555DC3">
              <w:rPr>
                <w:rFonts w:cstheme="minorHAnsi"/>
              </w:rPr>
              <w:t xml:space="preserve"> </w:t>
            </w:r>
            <w:r w:rsidRPr="0021187E">
              <w:rPr>
                <w:rFonts w:cstheme="minorHAnsi"/>
              </w:rPr>
              <w:t>159,58</w:t>
            </w:r>
          </w:p>
        </w:tc>
        <w:tc>
          <w:tcPr>
            <w:tcW w:w="1195" w:type="dxa"/>
            <w:vAlign w:val="center"/>
          </w:tcPr>
          <w:p w:rsidR="0021187E" w:rsidRPr="0021187E" w:rsidRDefault="0021187E" w:rsidP="00814331">
            <w:pPr>
              <w:spacing w:line="360" w:lineRule="auto"/>
              <w:jc w:val="center"/>
              <w:rPr>
                <w:rFonts w:cstheme="minorHAnsi"/>
              </w:rPr>
            </w:pPr>
            <w:r w:rsidRPr="0021187E">
              <w:rPr>
                <w:rFonts w:cstheme="minorHAnsi"/>
              </w:rPr>
              <w:t>24</w:t>
            </w:r>
            <w:r w:rsidR="00555DC3">
              <w:rPr>
                <w:rFonts w:cstheme="minorHAnsi"/>
              </w:rPr>
              <w:t xml:space="preserve"> </w:t>
            </w:r>
            <w:r w:rsidRPr="0021187E">
              <w:rPr>
                <w:rFonts w:cstheme="minorHAnsi"/>
              </w:rPr>
              <w:t>212</w:t>
            </w:r>
          </w:p>
        </w:tc>
        <w:tc>
          <w:tcPr>
            <w:tcW w:w="1213" w:type="dxa"/>
            <w:vAlign w:val="center"/>
          </w:tcPr>
          <w:p w:rsidR="0021187E" w:rsidRPr="0021187E" w:rsidRDefault="0021187E" w:rsidP="00814331">
            <w:pPr>
              <w:spacing w:line="360" w:lineRule="auto"/>
              <w:jc w:val="center"/>
              <w:rPr>
                <w:rFonts w:cstheme="minorHAnsi"/>
              </w:rPr>
            </w:pPr>
            <w:r w:rsidRPr="0021187E">
              <w:rPr>
                <w:rFonts w:cstheme="minorHAnsi"/>
              </w:rPr>
              <w:t>23 560,03</w:t>
            </w:r>
          </w:p>
        </w:tc>
        <w:tc>
          <w:tcPr>
            <w:tcW w:w="1150" w:type="dxa"/>
            <w:vAlign w:val="center"/>
          </w:tcPr>
          <w:p w:rsidR="0021187E" w:rsidRPr="0021187E" w:rsidRDefault="0021187E" w:rsidP="00814331">
            <w:pPr>
              <w:spacing w:line="360" w:lineRule="auto"/>
              <w:jc w:val="center"/>
              <w:rPr>
                <w:rFonts w:cstheme="minorHAnsi"/>
              </w:rPr>
            </w:pPr>
            <w:r w:rsidRPr="0021187E">
              <w:rPr>
                <w:rFonts w:cstheme="minorHAnsi"/>
              </w:rPr>
              <w:t>0</w:t>
            </w:r>
          </w:p>
        </w:tc>
        <w:tc>
          <w:tcPr>
            <w:tcW w:w="1066" w:type="dxa"/>
            <w:vAlign w:val="center"/>
          </w:tcPr>
          <w:p w:rsidR="0021187E" w:rsidRPr="0021187E" w:rsidRDefault="0021187E" w:rsidP="00814331">
            <w:pPr>
              <w:spacing w:line="360" w:lineRule="auto"/>
              <w:jc w:val="center"/>
              <w:rPr>
                <w:rFonts w:cstheme="minorHAnsi"/>
              </w:rPr>
            </w:pPr>
            <w:r w:rsidRPr="0021187E">
              <w:rPr>
                <w:rFonts w:cstheme="minorHAnsi"/>
              </w:rPr>
              <w:t>0</w:t>
            </w:r>
          </w:p>
        </w:tc>
      </w:tr>
      <w:tr w:rsidR="0021187E" w:rsidRPr="0002205A" w:rsidTr="00555DC3">
        <w:tc>
          <w:tcPr>
            <w:tcW w:w="1668" w:type="dxa"/>
            <w:vAlign w:val="center"/>
          </w:tcPr>
          <w:p w:rsidR="0021187E" w:rsidRPr="0021187E" w:rsidRDefault="0021187E" w:rsidP="00814331">
            <w:pPr>
              <w:spacing w:line="360" w:lineRule="auto"/>
              <w:rPr>
                <w:rFonts w:cstheme="minorHAnsi"/>
              </w:rPr>
            </w:pPr>
            <w:r w:rsidRPr="0021187E">
              <w:rPr>
                <w:rFonts w:cstheme="minorHAnsi"/>
              </w:rPr>
              <w:t>Výdavky spolu</w:t>
            </w:r>
          </w:p>
        </w:tc>
        <w:tc>
          <w:tcPr>
            <w:tcW w:w="1250" w:type="dxa"/>
            <w:vAlign w:val="center"/>
          </w:tcPr>
          <w:p w:rsidR="0021187E" w:rsidRPr="0021187E" w:rsidRDefault="0021187E" w:rsidP="00814331">
            <w:pPr>
              <w:spacing w:line="360" w:lineRule="auto"/>
              <w:jc w:val="center"/>
              <w:rPr>
                <w:rFonts w:cstheme="minorHAnsi"/>
              </w:rPr>
            </w:pPr>
            <w:r w:rsidRPr="0021187E">
              <w:rPr>
                <w:rFonts w:cstheme="minorHAnsi"/>
              </w:rPr>
              <w:t>983</w:t>
            </w:r>
            <w:r w:rsidR="00555DC3">
              <w:rPr>
                <w:rFonts w:cstheme="minorHAnsi"/>
              </w:rPr>
              <w:t xml:space="preserve"> </w:t>
            </w:r>
            <w:r w:rsidRPr="0021187E">
              <w:rPr>
                <w:rFonts w:cstheme="minorHAnsi"/>
              </w:rPr>
              <w:t>379,71</w:t>
            </w:r>
          </w:p>
        </w:tc>
        <w:tc>
          <w:tcPr>
            <w:tcW w:w="1213" w:type="dxa"/>
            <w:vAlign w:val="center"/>
          </w:tcPr>
          <w:p w:rsidR="0021187E" w:rsidRPr="0021187E" w:rsidRDefault="0021187E" w:rsidP="00814331">
            <w:pPr>
              <w:spacing w:line="360" w:lineRule="auto"/>
              <w:jc w:val="center"/>
              <w:rPr>
                <w:rFonts w:cstheme="minorHAnsi"/>
              </w:rPr>
            </w:pPr>
            <w:r w:rsidRPr="0021187E">
              <w:rPr>
                <w:rFonts w:cstheme="minorHAnsi"/>
              </w:rPr>
              <w:t>930 334,46</w:t>
            </w:r>
          </w:p>
        </w:tc>
        <w:tc>
          <w:tcPr>
            <w:tcW w:w="1195" w:type="dxa"/>
            <w:vAlign w:val="center"/>
          </w:tcPr>
          <w:p w:rsidR="0021187E" w:rsidRPr="0021187E" w:rsidRDefault="0021187E" w:rsidP="00814331">
            <w:pPr>
              <w:spacing w:line="360" w:lineRule="auto"/>
              <w:jc w:val="center"/>
              <w:rPr>
                <w:rFonts w:cstheme="minorHAnsi"/>
              </w:rPr>
            </w:pPr>
            <w:r w:rsidRPr="0021187E">
              <w:rPr>
                <w:rFonts w:cstheme="minorHAnsi"/>
              </w:rPr>
              <w:t>819 470</w:t>
            </w:r>
          </w:p>
        </w:tc>
        <w:tc>
          <w:tcPr>
            <w:tcW w:w="1213" w:type="dxa"/>
            <w:vAlign w:val="center"/>
          </w:tcPr>
          <w:p w:rsidR="0021187E" w:rsidRPr="0021187E" w:rsidRDefault="0021187E" w:rsidP="00814331">
            <w:pPr>
              <w:spacing w:line="360" w:lineRule="auto"/>
              <w:jc w:val="center"/>
              <w:rPr>
                <w:rFonts w:cstheme="minorHAnsi"/>
              </w:rPr>
            </w:pPr>
            <w:r w:rsidRPr="0021187E">
              <w:rPr>
                <w:rFonts w:cstheme="minorHAnsi"/>
              </w:rPr>
              <w:t>868 336,03</w:t>
            </w:r>
          </w:p>
        </w:tc>
        <w:tc>
          <w:tcPr>
            <w:tcW w:w="1150" w:type="dxa"/>
            <w:vAlign w:val="center"/>
          </w:tcPr>
          <w:p w:rsidR="0021187E" w:rsidRPr="0021187E" w:rsidRDefault="0021187E" w:rsidP="00814331">
            <w:pPr>
              <w:spacing w:line="360" w:lineRule="auto"/>
              <w:jc w:val="center"/>
              <w:rPr>
                <w:rFonts w:cstheme="minorHAnsi"/>
              </w:rPr>
            </w:pPr>
            <w:r w:rsidRPr="0021187E">
              <w:rPr>
                <w:rFonts w:cstheme="minorHAnsi"/>
              </w:rPr>
              <w:t>786</w:t>
            </w:r>
            <w:r w:rsidR="00555DC3">
              <w:rPr>
                <w:rFonts w:cstheme="minorHAnsi"/>
              </w:rPr>
              <w:t xml:space="preserve"> </w:t>
            </w:r>
            <w:r w:rsidRPr="0021187E">
              <w:rPr>
                <w:rFonts w:cstheme="minorHAnsi"/>
              </w:rPr>
              <w:t>700</w:t>
            </w:r>
          </w:p>
        </w:tc>
        <w:tc>
          <w:tcPr>
            <w:tcW w:w="1066" w:type="dxa"/>
            <w:vAlign w:val="center"/>
          </w:tcPr>
          <w:p w:rsidR="0021187E" w:rsidRPr="0021187E" w:rsidRDefault="0021187E" w:rsidP="00814331">
            <w:pPr>
              <w:spacing w:line="360" w:lineRule="auto"/>
              <w:jc w:val="center"/>
              <w:rPr>
                <w:rFonts w:cstheme="minorHAnsi"/>
              </w:rPr>
            </w:pPr>
            <w:r w:rsidRPr="0021187E">
              <w:rPr>
                <w:rFonts w:cstheme="minorHAnsi"/>
              </w:rPr>
              <w:t>823</w:t>
            </w:r>
            <w:r w:rsidR="00555DC3">
              <w:rPr>
                <w:rFonts w:cstheme="minorHAnsi"/>
              </w:rPr>
              <w:t xml:space="preserve"> </w:t>
            </w:r>
            <w:r w:rsidRPr="0021187E">
              <w:rPr>
                <w:rFonts w:cstheme="minorHAnsi"/>
              </w:rPr>
              <w:t>660</w:t>
            </w:r>
          </w:p>
        </w:tc>
      </w:tr>
    </w:tbl>
    <w:p w:rsidR="009F3097" w:rsidRPr="0002205A" w:rsidRDefault="009F3097" w:rsidP="00814331">
      <w:pPr>
        <w:spacing w:line="360" w:lineRule="auto"/>
        <w:rPr>
          <w:rFonts w:cstheme="minorHAnsi"/>
          <w:sz w:val="24"/>
          <w:szCs w:val="24"/>
        </w:rPr>
      </w:pPr>
    </w:p>
    <w:tbl>
      <w:tblPr>
        <w:tblStyle w:val="Mriekatabuky"/>
        <w:tblW w:w="0" w:type="auto"/>
        <w:tblLook w:val="04A0" w:firstRow="1" w:lastRow="0" w:firstColumn="1" w:lastColumn="0" w:noHBand="0" w:noVBand="1"/>
      </w:tblPr>
      <w:tblGrid>
        <w:gridCol w:w="1668"/>
        <w:gridCol w:w="1275"/>
        <w:gridCol w:w="1102"/>
        <w:gridCol w:w="1308"/>
        <w:gridCol w:w="1276"/>
        <w:gridCol w:w="992"/>
        <w:gridCol w:w="1101"/>
      </w:tblGrid>
      <w:tr w:rsidR="0090726A" w:rsidRPr="0002205A" w:rsidTr="00555DC3">
        <w:tc>
          <w:tcPr>
            <w:tcW w:w="1668" w:type="dxa"/>
            <w:vAlign w:val="center"/>
          </w:tcPr>
          <w:p w:rsidR="0090726A" w:rsidRPr="002D5842" w:rsidRDefault="0090726A" w:rsidP="00555DC3">
            <w:pPr>
              <w:jc w:val="center"/>
              <w:rPr>
                <w:rFonts w:cstheme="minorHAnsi"/>
                <w:b/>
              </w:rPr>
            </w:pPr>
            <w:r w:rsidRPr="002D5842">
              <w:rPr>
                <w:rFonts w:cstheme="minorHAnsi"/>
                <w:b/>
              </w:rPr>
              <w:t>Hospodárenie obce</w:t>
            </w:r>
          </w:p>
        </w:tc>
        <w:tc>
          <w:tcPr>
            <w:tcW w:w="1275" w:type="dxa"/>
            <w:vAlign w:val="center"/>
          </w:tcPr>
          <w:p w:rsidR="0090726A" w:rsidRPr="00555DC3" w:rsidRDefault="00F4703B" w:rsidP="00555DC3">
            <w:pPr>
              <w:jc w:val="center"/>
              <w:rPr>
                <w:rFonts w:cstheme="minorHAnsi"/>
              </w:rPr>
            </w:pPr>
            <w:r w:rsidRPr="00555DC3">
              <w:rPr>
                <w:rFonts w:cstheme="minorHAnsi"/>
              </w:rPr>
              <w:t>854,33</w:t>
            </w:r>
          </w:p>
        </w:tc>
        <w:tc>
          <w:tcPr>
            <w:tcW w:w="1102" w:type="dxa"/>
            <w:vAlign w:val="center"/>
          </w:tcPr>
          <w:p w:rsidR="0090726A" w:rsidRPr="00555DC3" w:rsidRDefault="00F4703B" w:rsidP="00555DC3">
            <w:pPr>
              <w:jc w:val="center"/>
              <w:rPr>
                <w:rFonts w:cstheme="minorHAnsi"/>
              </w:rPr>
            </w:pPr>
            <w:r w:rsidRPr="00555DC3">
              <w:rPr>
                <w:rFonts w:cstheme="minorHAnsi"/>
              </w:rPr>
              <w:t>58 848,21</w:t>
            </w:r>
          </w:p>
        </w:tc>
        <w:tc>
          <w:tcPr>
            <w:tcW w:w="1308" w:type="dxa"/>
            <w:vAlign w:val="center"/>
          </w:tcPr>
          <w:p w:rsidR="0090726A" w:rsidRPr="00555DC3" w:rsidRDefault="0021187E" w:rsidP="00555DC3">
            <w:pPr>
              <w:jc w:val="center"/>
              <w:rPr>
                <w:rFonts w:cstheme="minorHAnsi"/>
              </w:rPr>
            </w:pPr>
            <w:r w:rsidRPr="00555DC3">
              <w:rPr>
                <w:rFonts w:cstheme="minorHAnsi"/>
              </w:rPr>
              <w:t>4 357</w:t>
            </w:r>
          </w:p>
        </w:tc>
        <w:tc>
          <w:tcPr>
            <w:tcW w:w="1276" w:type="dxa"/>
            <w:vAlign w:val="center"/>
          </w:tcPr>
          <w:p w:rsidR="0090726A" w:rsidRPr="00555DC3" w:rsidRDefault="0021187E" w:rsidP="00555DC3">
            <w:pPr>
              <w:jc w:val="center"/>
              <w:rPr>
                <w:rFonts w:cstheme="minorHAnsi"/>
              </w:rPr>
            </w:pPr>
            <w:r w:rsidRPr="00555DC3">
              <w:rPr>
                <w:rFonts w:cstheme="minorHAnsi"/>
              </w:rPr>
              <w:t>588,97</w:t>
            </w:r>
          </w:p>
        </w:tc>
        <w:tc>
          <w:tcPr>
            <w:tcW w:w="992" w:type="dxa"/>
            <w:vAlign w:val="center"/>
          </w:tcPr>
          <w:p w:rsidR="0090726A" w:rsidRPr="00555DC3" w:rsidRDefault="0021187E" w:rsidP="00555DC3">
            <w:pPr>
              <w:jc w:val="center"/>
              <w:rPr>
                <w:rFonts w:cstheme="minorHAnsi"/>
              </w:rPr>
            </w:pPr>
            <w:r w:rsidRPr="00555DC3">
              <w:rPr>
                <w:rFonts w:cstheme="minorHAnsi"/>
              </w:rPr>
              <w:t>29 310</w:t>
            </w:r>
          </w:p>
        </w:tc>
        <w:tc>
          <w:tcPr>
            <w:tcW w:w="1101" w:type="dxa"/>
            <w:vAlign w:val="center"/>
          </w:tcPr>
          <w:p w:rsidR="0090726A" w:rsidRPr="00555DC3" w:rsidRDefault="0021187E" w:rsidP="00555DC3">
            <w:pPr>
              <w:jc w:val="center"/>
              <w:rPr>
                <w:rFonts w:cstheme="minorHAnsi"/>
              </w:rPr>
            </w:pPr>
            <w:r w:rsidRPr="00555DC3">
              <w:rPr>
                <w:rFonts w:cstheme="minorHAnsi"/>
              </w:rPr>
              <w:t>32 650</w:t>
            </w:r>
          </w:p>
        </w:tc>
      </w:tr>
    </w:tbl>
    <w:p w:rsidR="009F3097" w:rsidRPr="0002205A" w:rsidRDefault="009F3097" w:rsidP="009F3097">
      <w:pPr>
        <w:rPr>
          <w:rFonts w:cstheme="minorHAnsi"/>
          <w:sz w:val="24"/>
          <w:szCs w:val="24"/>
        </w:rPr>
      </w:pPr>
    </w:p>
    <w:p w:rsidR="009F3097" w:rsidRPr="0002205A" w:rsidRDefault="001D1984" w:rsidP="009F3097">
      <w:pPr>
        <w:rPr>
          <w:rFonts w:cstheme="minorHAnsi"/>
          <w:sz w:val="24"/>
          <w:szCs w:val="24"/>
        </w:rPr>
      </w:pPr>
      <w:r w:rsidRPr="0002205A">
        <w:rPr>
          <w:rFonts w:cstheme="minorHAnsi"/>
          <w:sz w:val="24"/>
          <w:szCs w:val="24"/>
        </w:rPr>
        <w:t xml:space="preserve">Návrh celkového rozpočtu na rok 2018 je zostavený ako prebytkový ( s celkovým prebytkom vo výške </w:t>
      </w:r>
      <w:r w:rsidR="002D5842">
        <w:rPr>
          <w:rFonts w:cstheme="minorHAnsi"/>
          <w:sz w:val="24"/>
          <w:szCs w:val="24"/>
        </w:rPr>
        <w:t>588,97</w:t>
      </w:r>
      <w:r w:rsidRPr="0002205A">
        <w:rPr>
          <w:rFonts w:cstheme="minorHAnsi"/>
          <w:sz w:val="24"/>
          <w:szCs w:val="24"/>
        </w:rPr>
        <w:t xml:space="preserve">  €) , čím je zabezpečená zákonná povinnosť </w:t>
      </w:r>
      <w:r w:rsidR="002D5842">
        <w:rPr>
          <w:rFonts w:cstheme="minorHAnsi"/>
          <w:sz w:val="24"/>
          <w:szCs w:val="24"/>
        </w:rPr>
        <w:t xml:space="preserve">(§ 10 ods. </w:t>
      </w:r>
      <w:r w:rsidRPr="0002205A">
        <w:rPr>
          <w:rFonts w:cstheme="minorHAnsi"/>
          <w:sz w:val="24"/>
          <w:szCs w:val="24"/>
        </w:rPr>
        <w:t>3 zák. č. 583/2004 Z. z.)  zostavenia vyrovnaného alebo prebytkového rozpočtu.</w:t>
      </w:r>
    </w:p>
    <w:p w:rsidR="00814331" w:rsidRDefault="001D1984" w:rsidP="001D1984">
      <w:pPr>
        <w:rPr>
          <w:rFonts w:cstheme="minorHAnsi"/>
          <w:sz w:val="24"/>
          <w:szCs w:val="24"/>
        </w:rPr>
      </w:pPr>
      <w:r w:rsidRPr="0002205A">
        <w:rPr>
          <w:rFonts w:cstheme="minorHAnsi"/>
          <w:sz w:val="24"/>
          <w:szCs w:val="24"/>
        </w:rPr>
        <w:t xml:space="preserve">Bežný rozpočet na rok 2018 je zostavený ako prebytkový v zmysle § 10 ods. 7 zákona č. 583/2004 Z. z. o rozpočtových pravidlách územnej samosprávy v znení neskorších zmien a doplnkov s prebytkom vo výške </w:t>
      </w:r>
      <w:r w:rsidR="002D5842" w:rsidRPr="002D5842">
        <w:rPr>
          <w:rFonts w:cstheme="minorHAnsi"/>
          <w:sz w:val="24"/>
          <w:szCs w:val="24"/>
        </w:rPr>
        <w:t>37</w:t>
      </w:r>
      <w:r w:rsidR="002D5842">
        <w:rPr>
          <w:rFonts w:cstheme="minorHAnsi"/>
          <w:sz w:val="24"/>
          <w:szCs w:val="24"/>
        </w:rPr>
        <w:t xml:space="preserve"> </w:t>
      </w:r>
      <w:r w:rsidR="002D5842" w:rsidRPr="002D5842">
        <w:rPr>
          <w:rFonts w:cstheme="minorHAnsi"/>
          <w:sz w:val="24"/>
          <w:szCs w:val="24"/>
        </w:rPr>
        <w:t>449</w:t>
      </w:r>
      <w:r w:rsidR="002D5842">
        <w:rPr>
          <w:rFonts w:cstheme="minorHAnsi"/>
          <w:sz w:val="24"/>
          <w:szCs w:val="24"/>
        </w:rPr>
        <w:t xml:space="preserve"> </w:t>
      </w:r>
      <w:r w:rsidRPr="0002205A">
        <w:rPr>
          <w:rFonts w:cstheme="minorHAnsi"/>
          <w:sz w:val="24"/>
          <w:szCs w:val="24"/>
        </w:rPr>
        <w:t>€.</w:t>
      </w:r>
    </w:p>
    <w:p w:rsidR="00793A79" w:rsidRPr="00814331" w:rsidRDefault="001D1984" w:rsidP="001D1984">
      <w:pPr>
        <w:rPr>
          <w:rFonts w:cstheme="minorHAnsi"/>
          <w:sz w:val="24"/>
          <w:szCs w:val="24"/>
        </w:rPr>
      </w:pPr>
      <w:r w:rsidRPr="0002205A">
        <w:rPr>
          <w:rFonts w:cstheme="minorHAnsi"/>
          <w:sz w:val="24"/>
          <w:szCs w:val="24"/>
        </w:rPr>
        <w:t xml:space="preserve">Kapitálový rozpočet na rok 2018 je zostavený ako schodkový. Vzniknutý schodok kapitálového rozpočtu vo výške  </w:t>
      </w:r>
      <w:r w:rsidR="00793A79" w:rsidRPr="00793A79">
        <w:rPr>
          <w:rFonts w:cstheme="minorHAnsi"/>
          <w:sz w:val="24"/>
          <w:szCs w:val="24"/>
        </w:rPr>
        <w:t>-16</w:t>
      </w:r>
      <w:r w:rsidR="00793A79">
        <w:rPr>
          <w:rFonts w:cstheme="minorHAnsi"/>
          <w:sz w:val="24"/>
          <w:szCs w:val="24"/>
        </w:rPr>
        <w:t xml:space="preserve"> </w:t>
      </w:r>
      <w:r w:rsidR="00793A79" w:rsidRPr="00793A79">
        <w:rPr>
          <w:rFonts w:cstheme="minorHAnsi"/>
          <w:sz w:val="24"/>
          <w:szCs w:val="24"/>
        </w:rPr>
        <w:t>500</w:t>
      </w:r>
      <w:r w:rsidR="00793A79">
        <w:rPr>
          <w:rFonts w:cstheme="minorHAnsi"/>
          <w:sz w:val="24"/>
          <w:szCs w:val="24"/>
        </w:rPr>
        <w:t xml:space="preserve"> </w:t>
      </w:r>
      <w:r w:rsidRPr="0002205A">
        <w:rPr>
          <w:rFonts w:cstheme="minorHAnsi"/>
          <w:sz w:val="24"/>
          <w:szCs w:val="24"/>
        </w:rPr>
        <w:t>€ je krytý prebytkom hospodárenia bežného rozpočtu.</w:t>
      </w:r>
    </w:p>
    <w:p w:rsidR="001D1984" w:rsidRPr="00793A79" w:rsidRDefault="001D1984" w:rsidP="001D1984">
      <w:pPr>
        <w:rPr>
          <w:rFonts w:cstheme="minorHAnsi"/>
          <w:b/>
          <w:sz w:val="24"/>
          <w:szCs w:val="24"/>
        </w:rPr>
      </w:pPr>
      <w:r w:rsidRPr="00793A79">
        <w:rPr>
          <w:rFonts w:cstheme="minorHAnsi"/>
          <w:b/>
          <w:sz w:val="24"/>
          <w:szCs w:val="24"/>
        </w:rPr>
        <w:lastRenderedPageBreak/>
        <w:t>E. O</w:t>
      </w:r>
      <w:r w:rsidRPr="00793A79">
        <w:rPr>
          <w:rFonts w:cstheme="minorHAnsi"/>
          <w:b/>
          <w:caps/>
          <w:sz w:val="24"/>
          <w:szCs w:val="24"/>
        </w:rPr>
        <w:t>dporúčania</w:t>
      </w:r>
    </w:p>
    <w:p w:rsidR="001D1984" w:rsidRPr="0002205A" w:rsidRDefault="001D1984" w:rsidP="001D1984">
      <w:pPr>
        <w:rPr>
          <w:rFonts w:cstheme="minorHAnsi"/>
          <w:sz w:val="24"/>
          <w:szCs w:val="24"/>
        </w:rPr>
      </w:pPr>
      <w:r w:rsidRPr="0002205A">
        <w:rPr>
          <w:rFonts w:cstheme="minorHAnsi"/>
          <w:sz w:val="24"/>
          <w:szCs w:val="24"/>
        </w:rPr>
        <w:t xml:space="preserve">Zvýšenú pozornosť odporúčam venovať pravidelnej vnútornej finančnej kontrole a dôslednému sledovaniu príjmov a výdavkov jednak na úrovni </w:t>
      </w:r>
      <w:r w:rsidR="00793A79">
        <w:rPr>
          <w:rFonts w:cstheme="minorHAnsi"/>
          <w:sz w:val="24"/>
          <w:szCs w:val="24"/>
        </w:rPr>
        <w:t>Obecného úradu</w:t>
      </w:r>
      <w:r w:rsidRPr="0002205A">
        <w:rPr>
          <w:rFonts w:cstheme="minorHAnsi"/>
          <w:sz w:val="24"/>
          <w:szCs w:val="24"/>
        </w:rPr>
        <w:t xml:space="preserve">, ako aj </w:t>
      </w:r>
      <w:r w:rsidR="00793A79">
        <w:rPr>
          <w:rFonts w:cstheme="minorHAnsi"/>
          <w:sz w:val="24"/>
          <w:szCs w:val="24"/>
        </w:rPr>
        <w:t>ostatných</w:t>
      </w:r>
      <w:r w:rsidRPr="0002205A">
        <w:rPr>
          <w:rFonts w:cstheme="minorHAnsi"/>
          <w:sz w:val="24"/>
          <w:szCs w:val="24"/>
        </w:rPr>
        <w:t xml:space="preserve"> subjektov, ktoré sú zapojené do rozpo</w:t>
      </w:r>
      <w:r w:rsidR="00793A79">
        <w:rPr>
          <w:rFonts w:cstheme="minorHAnsi"/>
          <w:sz w:val="24"/>
          <w:szCs w:val="24"/>
        </w:rPr>
        <w:t>čtového procesu v súlade so zákonom</w:t>
      </w:r>
      <w:r w:rsidRPr="0002205A">
        <w:rPr>
          <w:rFonts w:cstheme="minorHAnsi"/>
          <w:sz w:val="24"/>
          <w:szCs w:val="24"/>
        </w:rPr>
        <w:t xml:space="preserve"> č. 502/2001 Z. z. v znení neskorších predpisov.</w:t>
      </w:r>
    </w:p>
    <w:p w:rsidR="001D1984" w:rsidRPr="0002205A" w:rsidRDefault="001D1984" w:rsidP="001D1984">
      <w:pPr>
        <w:rPr>
          <w:rFonts w:cstheme="minorHAnsi"/>
          <w:b/>
          <w:sz w:val="24"/>
          <w:szCs w:val="24"/>
        </w:rPr>
      </w:pPr>
      <w:r w:rsidRPr="0002205A">
        <w:rPr>
          <w:rFonts w:cstheme="minorHAnsi"/>
          <w:b/>
          <w:sz w:val="24"/>
          <w:szCs w:val="24"/>
        </w:rPr>
        <w:t>F. ZÁVER</w:t>
      </w:r>
    </w:p>
    <w:p w:rsidR="001D1984" w:rsidRPr="0002205A" w:rsidRDefault="001D1984" w:rsidP="001D1984">
      <w:pPr>
        <w:jc w:val="center"/>
        <w:rPr>
          <w:rFonts w:cstheme="minorHAnsi"/>
          <w:sz w:val="24"/>
          <w:szCs w:val="24"/>
        </w:rPr>
      </w:pPr>
      <w:r w:rsidRPr="0002205A">
        <w:rPr>
          <w:rFonts w:cstheme="minorHAnsi"/>
          <w:sz w:val="24"/>
          <w:szCs w:val="24"/>
        </w:rPr>
        <w:t xml:space="preserve">Na základe preskúmania jednotlivých častí návrhu rozpočtu </w:t>
      </w:r>
      <w:r w:rsidR="00793A79">
        <w:rPr>
          <w:rFonts w:cstheme="minorHAnsi"/>
          <w:sz w:val="24"/>
          <w:szCs w:val="24"/>
        </w:rPr>
        <w:t xml:space="preserve">Obce Pohronský Ruskov </w:t>
      </w:r>
      <w:r w:rsidRPr="0002205A">
        <w:rPr>
          <w:rFonts w:cstheme="minorHAnsi"/>
          <w:sz w:val="24"/>
          <w:szCs w:val="24"/>
        </w:rPr>
        <w:t>na rok 2018</w:t>
      </w:r>
    </w:p>
    <w:p w:rsidR="001D1984" w:rsidRPr="0002205A" w:rsidRDefault="001D1984" w:rsidP="001D1984">
      <w:pPr>
        <w:jc w:val="center"/>
        <w:rPr>
          <w:rFonts w:cstheme="minorHAnsi"/>
          <w:b/>
          <w:sz w:val="24"/>
          <w:szCs w:val="24"/>
        </w:rPr>
      </w:pPr>
      <w:r w:rsidRPr="0002205A">
        <w:rPr>
          <w:rFonts w:cstheme="minorHAnsi"/>
          <w:b/>
          <w:sz w:val="24"/>
          <w:szCs w:val="24"/>
        </w:rPr>
        <w:t>odporúčam</w:t>
      </w:r>
    </w:p>
    <w:p w:rsidR="001D1984" w:rsidRPr="0002205A" w:rsidRDefault="00793A79" w:rsidP="001D1984">
      <w:pPr>
        <w:jc w:val="center"/>
        <w:rPr>
          <w:rFonts w:cstheme="minorHAnsi"/>
          <w:sz w:val="24"/>
          <w:szCs w:val="24"/>
        </w:rPr>
      </w:pPr>
      <w:r>
        <w:rPr>
          <w:rFonts w:cstheme="minorHAnsi"/>
          <w:sz w:val="24"/>
          <w:szCs w:val="24"/>
        </w:rPr>
        <w:t>Obecnému</w:t>
      </w:r>
      <w:r w:rsidR="001D1984" w:rsidRPr="0002205A">
        <w:rPr>
          <w:rFonts w:cstheme="minorHAnsi"/>
          <w:sz w:val="24"/>
          <w:szCs w:val="24"/>
        </w:rPr>
        <w:t xml:space="preserve"> zastupiteľstvu v</w:t>
      </w:r>
      <w:r>
        <w:rPr>
          <w:rFonts w:cstheme="minorHAnsi"/>
          <w:sz w:val="24"/>
          <w:szCs w:val="24"/>
        </w:rPr>
        <w:t> Pohronskom Ruskove</w:t>
      </w:r>
    </w:p>
    <w:p w:rsidR="001D1984" w:rsidRPr="0002205A" w:rsidRDefault="001D1984" w:rsidP="001D1984">
      <w:pPr>
        <w:jc w:val="center"/>
        <w:rPr>
          <w:rFonts w:cstheme="minorHAnsi"/>
          <w:sz w:val="24"/>
          <w:szCs w:val="24"/>
        </w:rPr>
      </w:pPr>
      <w:r w:rsidRPr="0002205A">
        <w:rPr>
          <w:rFonts w:cstheme="minorHAnsi"/>
          <w:sz w:val="24"/>
          <w:szCs w:val="24"/>
        </w:rPr>
        <w:t xml:space="preserve">predložený  návrh rozpočtu </w:t>
      </w:r>
      <w:r w:rsidR="00793A79">
        <w:rPr>
          <w:rFonts w:cstheme="minorHAnsi"/>
          <w:sz w:val="24"/>
          <w:szCs w:val="24"/>
        </w:rPr>
        <w:t>Obce Pohronský Ruskov</w:t>
      </w:r>
      <w:r w:rsidRPr="0002205A">
        <w:rPr>
          <w:rFonts w:cstheme="minorHAnsi"/>
          <w:sz w:val="24"/>
          <w:szCs w:val="24"/>
        </w:rPr>
        <w:t xml:space="preserve"> na rok 2018</w:t>
      </w:r>
    </w:p>
    <w:p w:rsidR="001D1984" w:rsidRPr="0002205A" w:rsidRDefault="001D1984" w:rsidP="001D1984">
      <w:pPr>
        <w:jc w:val="center"/>
        <w:rPr>
          <w:rFonts w:cstheme="minorHAnsi"/>
          <w:b/>
          <w:sz w:val="24"/>
          <w:szCs w:val="24"/>
        </w:rPr>
      </w:pPr>
      <w:r w:rsidRPr="0002205A">
        <w:rPr>
          <w:rFonts w:cstheme="minorHAnsi"/>
          <w:b/>
          <w:sz w:val="24"/>
          <w:szCs w:val="24"/>
        </w:rPr>
        <w:t>schváliť</w:t>
      </w:r>
    </w:p>
    <w:p w:rsidR="001D1984" w:rsidRPr="0002205A" w:rsidRDefault="001D1984" w:rsidP="001D1984">
      <w:pPr>
        <w:jc w:val="center"/>
        <w:rPr>
          <w:rFonts w:cstheme="minorHAnsi"/>
          <w:sz w:val="24"/>
          <w:szCs w:val="24"/>
        </w:rPr>
      </w:pPr>
      <w:r w:rsidRPr="0002205A">
        <w:rPr>
          <w:rFonts w:cstheme="minorHAnsi"/>
          <w:sz w:val="24"/>
          <w:szCs w:val="24"/>
        </w:rPr>
        <w:t>a návrh viacročného rozpočtu na roky 2019 - 2020</w:t>
      </w:r>
    </w:p>
    <w:p w:rsidR="001D1984" w:rsidRPr="0002205A" w:rsidRDefault="001D1984" w:rsidP="001D1984">
      <w:pPr>
        <w:jc w:val="center"/>
        <w:rPr>
          <w:rFonts w:cstheme="minorHAnsi"/>
          <w:b/>
          <w:sz w:val="24"/>
          <w:szCs w:val="24"/>
        </w:rPr>
      </w:pPr>
      <w:r w:rsidRPr="0002205A">
        <w:rPr>
          <w:rFonts w:cstheme="minorHAnsi"/>
          <w:b/>
          <w:sz w:val="24"/>
          <w:szCs w:val="24"/>
        </w:rPr>
        <w:t>zobrať na vedomie.</w:t>
      </w:r>
    </w:p>
    <w:p w:rsidR="009F3097" w:rsidRPr="0002205A" w:rsidRDefault="009F3097" w:rsidP="009F3097">
      <w:pPr>
        <w:rPr>
          <w:rFonts w:cstheme="minorHAnsi"/>
          <w:sz w:val="24"/>
          <w:szCs w:val="24"/>
        </w:rPr>
      </w:pPr>
    </w:p>
    <w:p w:rsidR="00793A79" w:rsidRDefault="00793A79" w:rsidP="0002205A">
      <w:pPr>
        <w:rPr>
          <w:rFonts w:cstheme="minorHAnsi"/>
          <w:sz w:val="24"/>
          <w:szCs w:val="24"/>
        </w:rPr>
      </w:pPr>
    </w:p>
    <w:p w:rsidR="00793A79" w:rsidRDefault="00793A79" w:rsidP="0002205A">
      <w:pPr>
        <w:rPr>
          <w:rFonts w:cstheme="minorHAnsi"/>
          <w:sz w:val="24"/>
          <w:szCs w:val="24"/>
        </w:rPr>
      </w:pPr>
    </w:p>
    <w:p w:rsidR="0049543B" w:rsidRDefault="0002205A" w:rsidP="0002205A">
      <w:pPr>
        <w:rPr>
          <w:rFonts w:cstheme="minorHAnsi"/>
          <w:sz w:val="24"/>
          <w:szCs w:val="24"/>
        </w:rPr>
      </w:pPr>
      <w:r w:rsidRPr="0002205A">
        <w:rPr>
          <w:rFonts w:cstheme="minorHAnsi"/>
          <w:sz w:val="24"/>
          <w:szCs w:val="24"/>
        </w:rPr>
        <w:t>Materiál vypracoval</w:t>
      </w:r>
      <w:r w:rsidR="00793A79">
        <w:rPr>
          <w:rFonts w:cstheme="minorHAnsi"/>
          <w:sz w:val="24"/>
          <w:szCs w:val="24"/>
        </w:rPr>
        <w:t>a</w:t>
      </w:r>
      <w:r w:rsidRPr="0002205A">
        <w:rPr>
          <w:rFonts w:cstheme="minorHAnsi"/>
          <w:sz w:val="24"/>
          <w:szCs w:val="24"/>
        </w:rPr>
        <w:t xml:space="preserve"> a predkladá:</w:t>
      </w:r>
      <w:r w:rsidR="00793A79">
        <w:rPr>
          <w:rFonts w:cstheme="minorHAnsi"/>
          <w:sz w:val="24"/>
          <w:szCs w:val="24"/>
        </w:rPr>
        <w:t xml:space="preserve"> </w:t>
      </w:r>
    </w:p>
    <w:p w:rsidR="0049543B" w:rsidRDefault="0049543B" w:rsidP="0002205A">
      <w:pPr>
        <w:rPr>
          <w:rFonts w:cstheme="minorHAnsi"/>
          <w:sz w:val="24"/>
          <w:szCs w:val="24"/>
        </w:rPr>
      </w:pPr>
    </w:p>
    <w:p w:rsidR="0002205A" w:rsidRPr="0049543B" w:rsidRDefault="00793A79" w:rsidP="0049543B">
      <w:pPr>
        <w:ind w:left="3540" w:firstLine="708"/>
        <w:rPr>
          <w:rFonts w:cstheme="minorHAnsi"/>
          <w:b/>
          <w:sz w:val="24"/>
          <w:szCs w:val="24"/>
        </w:rPr>
      </w:pPr>
      <w:r w:rsidRPr="0049543B">
        <w:rPr>
          <w:rFonts w:cstheme="minorHAnsi"/>
          <w:b/>
          <w:sz w:val="24"/>
          <w:szCs w:val="24"/>
        </w:rPr>
        <w:t xml:space="preserve"> PhDr. Alžbeta </w:t>
      </w:r>
      <w:proofErr w:type="spellStart"/>
      <w:r w:rsidRPr="0049543B">
        <w:rPr>
          <w:rFonts w:cstheme="minorHAnsi"/>
          <w:b/>
          <w:sz w:val="24"/>
          <w:szCs w:val="24"/>
        </w:rPr>
        <w:t>Kádašiová</w:t>
      </w:r>
      <w:proofErr w:type="spellEnd"/>
      <w:r w:rsidRPr="0049543B">
        <w:rPr>
          <w:rFonts w:cstheme="minorHAnsi"/>
          <w:b/>
          <w:sz w:val="24"/>
          <w:szCs w:val="24"/>
        </w:rPr>
        <w:t xml:space="preserve"> – Hlavná kontrolórka </w:t>
      </w:r>
    </w:p>
    <w:p w:rsidR="009F3097" w:rsidRPr="0002205A" w:rsidRDefault="009F3097" w:rsidP="009F3097">
      <w:pPr>
        <w:rPr>
          <w:rFonts w:cstheme="minorHAnsi"/>
          <w:sz w:val="24"/>
          <w:szCs w:val="24"/>
        </w:rPr>
      </w:pPr>
    </w:p>
    <w:sectPr w:rsidR="009F3097" w:rsidRPr="00022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02C19"/>
    <w:multiLevelType w:val="hybridMultilevel"/>
    <w:tmpl w:val="E71CD9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6C73A42"/>
    <w:multiLevelType w:val="hybridMultilevel"/>
    <w:tmpl w:val="857A0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B9"/>
    <w:rsid w:val="0002205A"/>
    <w:rsid w:val="001D1984"/>
    <w:rsid w:val="0021187E"/>
    <w:rsid w:val="002D5842"/>
    <w:rsid w:val="0049543B"/>
    <w:rsid w:val="00555DC3"/>
    <w:rsid w:val="00627BA0"/>
    <w:rsid w:val="006D61E7"/>
    <w:rsid w:val="007046B7"/>
    <w:rsid w:val="00793A79"/>
    <w:rsid w:val="00814331"/>
    <w:rsid w:val="0090726A"/>
    <w:rsid w:val="009F3097"/>
    <w:rsid w:val="00C66E86"/>
    <w:rsid w:val="00CC73BA"/>
    <w:rsid w:val="00E050C1"/>
    <w:rsid w:val="00E166B9"/>
    <w:rsid w:val="00F4703B"/>
    <w:rsid w:val="00F97C60"/>
    <w:rsid w:val="00FE09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7561"/>
  <w15:docId w15:val="{77A58756-42C3-41CE-9BAE-94D438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3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55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6070</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kadasiova</dc:creator>
  <cp:lastModifiedBy>User</cp:lastModifiedBy>
  <cp:revision>2</cp:revision>
  <dcterms:created xsi:type="dcterms:W3CDTF">2017-12-11T13:06:00Z</dcterms:created>
  <dcterms:modified xsi:type="dcterms:W3CDTF">2017-12-11T13:06:00Z</dcterms:modified>
</cp:coreProperties>
</file>